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346" w:rsidRDefault="00AB3346" w:rsidP="007E54E0">
      <w:pPr>
        <w:pStyle w:val="Ttulo3"/>
        <w:tabs>
          <w:tab w:val="left" w:pos="4500"/>
          <w:tab w:val="left" w:pos="7088"/>
        </w:tabs>
        <w:spacing w:line="276" w:lineRule="auto"/>
        <w:jc w:val="center"/>
        <w:rPr>
          <w:rFonts w:ascii="Bookman Old Style" w:hAnsi="Bookman Old Style"/>
          <w:b/>
          <w:bCs/>
          <w:iCs/>
          <w:sz w:val="22"/>
          <w:szCs w:val="22"/>
          <w:lang w:val="es-ES"/>
        </w:rPr>
      </w:pPr>
    </w:p>
    <w:p w:rsidR="00C40BA1" w:rsidRPr="00B91E1C" w:rsidRDefault="00961E8A" w:rsidP="007E54E0">
      <w:pPr>
        <w:pStyle w:val="Ttulo3"/>
        <w:tabs>
          <w:tab w:val="left" w:pos="4500"/>
          <w:tab w:val="left" w:pos="7088"/>
        </w:tabs>
        <w:spacing w:line="276" w:lineRule="auto"/>
        <w:jc w:val="center"/>
        <w:rPr>
          <w:rFonts w:ascii="Bookman Old Style" w:hAnsi="Bookman Old Style"/>
          <w:b/>
          <w:bCs/>
          <w:iCs/>
          <w:sz w:val="22"/>
          <w:szCs w:val="22"/>
          <w:lang w:val="es-ES"/>
        </w:rPr>
      </w:pPr>
      <w:r w:rsidRPr="00B91E1C">
        <w:rPr>
          <w:rFonts w:ascii="Bookman Old Style" w:hAnsi="Bookman Old Style"/>
          <w:b/>
          <w:bCs/>
          <w:iCs/>
          <w:sz w:val="22"/>
          <w:szCs w:val="22"/>
          <w:lang w:val="es-ES"/>
        </w:rPr>
        <w:t xml:space="preserve">HECHOS </w:t>
      </w:r>
      <w:r w:rsidR="00C66627" w:rsidRPr="00B91E1C">
        <w:rPr>
          <w:rFonts w:ascii="Bookman Old Style" w:hAnsi="Bookman Old Style"/>
          <w:b/>
          <w:bCs/>
          <w:iCs/>
          <w:sz w:val="22"/>
          <w:szCs w:val="22"/>
          <w:lang w:val="es-ES"/>
        </w:rPr>
        <w:t xml:space="preserve">CUMPLIDOS Y </w:t>
      </w:r>
      <w:r w:rsidR="00C66627" w:rsidRPr="00B91E1C">
        <w:rPr>
          <w:rFonts w:ascii="Bookman Old Style" w:hAnsi="Bookman Old Style"/>
          <w:b/>
          <w:bCs/>
          <w:i/>
          <w:iCs/>
          <w:sz w:val="22"/>
          <w:szCs w:val="22"/>
          <w:lang w:val="es-ES"/>
        </w:rPr>
        <w:t>ACTIO IN REM VERSO</w:t>
      </w:r>
    </w:p>
    <w:p w:rsidR="001A344A" w:rsidRPr="00B91E1C" w:rsidRDefault="001A344A" w:rsidP="007E54E0">
      <w:pPr>
        <w:spacing w:line="276" w:lineRule="auto"/>
        <w:rPr>
          <w:rFonts w:ascii="Bookman Old Style" w:hAnsi="Bookman Old Style"/>
          <w:sz w:val="22"/>
          <w:szCs w:val="22"/>
          <w:lang w:val="es-ES"/>
        </w:rPr>
      </w:pPr>
    </w:p>
    <w:p w:rsidR="00330093" w:rsidRPr="00B91E1C" w:rsidRDefault="002741F3" w:rsidP="007E54E0">
      <w:pPr>
        <w:spacing w:line="276" w:lineRule="auto"/>
        <w:jc w:val="center"/>
        <w:rPr>
          <w:rFonts w:ascii="Bookman Old Style" w:hAnsi="Bookman Old Style"/>
          <w:sz w:val="22"/>
          <w:szCs w:val="22"/>
          <w:lang w:val="es-ES"/>
        </w:rPr>
      </w:pPr>
      <w:r w:rsidRPr="00B91E1C">
        <w:rPr>
          <w:rFonts w:ascii="Bookman Old Style" w:hAnsi="Bookman Old Style"/>
          <w:sz w:val="22"/>
          <w:szCs w:val="22"/>
          <w:lang w:val="es-ES"/>
        </w:rPr>
        <w:t xml:space="preserve">–Análisis de la sentencia </w:t>
      </w:r>
      <w:r w:rsidR="00961E8A" w:rsidRPr="00B91E1C">
        <w:rPr>
          <w:rFonts w:ascii="Bookman Old Style" w:hAnsi="Bookman Old Style"/>
          <w:sz w:val="22"/>
          <w:szCs w:val="22"/>
          <w:lang w:val="es-ES"/>
        </w:rPr>
        <w:t xml:space="preserve">de unificación </w:t>
      </w:r>
      <w:r w:rsidR="00330093" w:rsidRPr="00B91E1C">
        <w:rPr>
          <w:rFonts w:ascii="Bookman Old Style" w:hAnsi="Bookman Old Style"/>
          <w:sz w:val="22"/>
          <w:szCs w:val="22"/>
          <w:lang w:val="es-ES"/>
        </w:rPr>
        <w:t xml:space="preserve">del </w:t>
      </w:r>
      <w:r w:rsidR="00961E8A" w:rsidRPr="00B91E1C">
        <w:rPr>
          <w:rFonts w:ascii="Bookman Old Style" w:hAnsi="Bookman Old Style"/>
          <w:sz w:val="22"/>
          <w:szCs w:val="22"/>
          <w:lang w:val="es-ES"/>
        </w:rPr>
        <w:t>19</w:t>
      </w:r>
      <w:r w:rsidR="00330093" w:rsidRPr="00B91E1C">
        <w:rPr>
          <w:rFonts w:ascii="Bookman Old Style" w:hAnsi="Bookman Old Style"/>
          <w:sz w:val="22"/>
          <w:szCs w:val="22"/>
          <w:lang w:val="es-ES"/>
        </w:rPr>
        <w:t xml:space="preserve"> de </w:t>
      </w:r>
      <w:r w:rsidR="00961E8A" w:rsidRPr="00B91E1C">
        <w:rPr>
          <w:rFonts w:ascii="Bookman Old Style" w:hAnsi="Bookman Old Style"/>
          <w:sz w:val="22"/>
          <w:szCs w:val="22"/>
          <w:lang w:val="es-ES"/>
        </w:rPr>
        <w:t>noviembre</w:t>
      </w:r>
      <w:r w:rsidR="00330093" w:rsidRPr="00B91E1C">
        <w:rPr>
          <w:rFonts w:ascii="Bookman Old Style" w:hAnsi="Bookman Old Style"/>
          <w:sz w:val="22"/>
          <w:szCs w:val="22"/>
          <w:lang w:val="es-ES"/>
        </w:rPr>
        <w:t xml:space="preserve"> de 201</w:t>
      </w:r>
      <w:r w:rsidR="00961E8A" w:rsidRPr="00B91E1C">
        <w:rPr>
          <w:rFonts w:ascii="Bookman Old Style" w:hAnsi="Bookman Old Style"/>
          <w:sz w:val="22"/>
          <w:szCs w:val="22"/>
          <w:lang w:val="es-ES"/>
        </w:rPr>
        <w:t>2</w:t>
      </w:r>
      <w:r w:rsidR="00330093" w:rsidRPr="00B91E1C">
        <w:rPr>
          <w:rFonts w:ascii="Bookman Old Style" w:hAnsi="Bookman Old Style"/>
          <w:sz w:val="22"/>
          <w:szCs w:val="22"/>
          <w:lang w:val="es-ES"/>
        </w:rPr>
        <w:t xml:space="preserve">, </w:t>
      </w:r>
    </w:p>
    <w:p w:rsidR="002741F3" w:rsidRPr="00B91E1C" w:rsidRDefault="002741F3" w:rsidP="007E54E0">
      <w:pPr>
        <w:spacing w:line="276" w:lineRule="auto"/>
        <w:jc w:val="center"/>
        <w:rPr>
          <w:rFonts w:ascii="Bookman Old Style" w:hAnsi="Bookman Old Style"/>
          <w:sz w:val="22"/>
          <w:szCs w:val="22"/>
          <w:lang w:val="es-ES"/>
        </w:rPr>
      </w:pPr>
      <w:r w:rsidRPr="00B91E1C">
        <w:rPr>
          <w:rFonts w:ascii="Bookman Old Style" w:hAnsi="Bookman Old Style"/>
          <w:sz w:val="22"/>
          <w:szCs w:val="22"/>
          <w:lang w:val="es-ES"/>
        </w:rPr>
        <w:t xml:space="preserve">Sección Tercera, </w:t>
      </w:r>
      <w:r w:rsidR="00961E8A" w:rsidRPr="00B91E1C">
        <w:rPr>
          <w:rFonts w:ascii="Bookman Old Style" w:hAnsi="Bookman Old Style"/>
          <w:sz w:val="22"/>
          <w:szCs w:val="22"/>
          <w:lang w:val="es-ES"/>
        </w:rPr>
        <w:t>Sala Plena,</w:t>
      </w:r>
      <w:r w:rsidRPr="00B91E1C">
        <w:rPr>
          <w:rFonts w:ascii="Bookman Old Style" w:hAnsi="Bookman Old Style"/>
          <w:sz w:val="22"/>
          <w:szCs w:val="22"/>
          <w:lang w:val="es-ES"/>
        </w:rPr>
        <w:t xml:space="preserve"> </w:t>
      </w:r>
      <w:r w:rsidR="00330093" w:rsidRPr="00B91E1C">
        <w:rPr>
          <w:rFonts w:ascii="Bookman Old Style" w:hAnsi="Bookman Old Style"/>
          <w:sz w:val="22"/>
          <w:szCs w:val="22"/>
          <w:lang w:val="es-ES"/>
        </w:rPr>
        <w:t>exp. 24.</w:t>
      </w:r>
      <w:r w:rsidR="007A25B5" w:rsidRPr="00B91E1C">
        <w:rPr>
          <w:rFonts w:ascii="Bookman Old Style" w:hAnsi="Bookman Old Style"/>
          <w:sz w:val="22"/>
          <w:szCs w:val="22"/>
          <w:lang w:val="es-ES"/>
        </w:rPr>
        <w:t>897</w:t>
      </w:r>
      <w:r w:rsidR="00330093" w:rsidRPr="00B91E1C">
        <w:rPr>
          <w:rFonts w:ascii="Bookman Old Style" w:hAnsi="Bookman Old Style"/>
          <w:sz w:val="22"/>
          <w:szCs w:val="22"/>
          <w:lang w:val="es-ES"/>
        </w:rPr>
        <w:t>–</w:t>
      </w:r>
    </w:p>
    <w:p w:rsidR="00F04D59" w:rsidRPr="00B91E1C" w:rsidRDefault="00F04D59" w:rsidP="007E54E0">
      <w:pPr>
        <w:spacing w:line="276" w:lineRule="auto"/>
        <w:jc w:val="both"/>
        <w:rPr>
          <w:rFonts w:ascii="Bookman Old Style" w:hAnsi="Bookman Old Style" w:cs="Tahoma"/>
          <w:sz w:val="22"/>
          <w:szCs w:val="22"/>
          <w:lang w:val="es-ES"/>
        </w:rPr>
      </w:pPr>
    </w:p>
    <w:p w:rsidR="00B91EDE" w:rsidRPr="00B91E1C" w:rsidRDefault="00B91EDE" w:rsidP="007E54E0">
      <w:pPr>
        <w:spacing w:line="276" w:lineRule="auto"/>
        <w:jc w:val="right"/>
        <w:rPr>
          <w:rFonts w:ascii="Bookman Old Style" w:hAnsi="Bookman Old Style" w:cs="Tahoma"/>
          <w:sz w:val="22"/>
          <w:szCs w:val="22"/>
          <w:lang w:val="es-ES"/>
        </w:rPr>
      </w:pPr>
      <w:r w:rsidRPr="00B91E1C">
        <w:rPr>
          <w:rFonts w:ascii="Bookman Old Style" w:hAnsi="Bookman Old Style" w:cs="Tahoma"/>
          <w:sz w:val="22"/>
          <w:szCs w:val="22"/>
          <w:lang w:val="es-ES"/>
        </w:rPr>
        <w:t>Fabián G. Marín Cortés</w:t>
      </w:r>
      <w:r w:rsidR="002E0DAC" w:rsidRPr="00B91E1C">
        <w:rPr>
          <w:rStyle w:val="Refdenotaalpie"/>
          <w:rFonts w:ascii="Bookman Old Style" w:hAnsi="Bookman Old Style" w:cs="Tahoma"/>
          <w:sz w:val="22"/>
          <w:szCs w:val="22"/>
          <w:lang w:val="es-ES"/>
        </w:rPr>
        <w:footnoteReference w:id="1"/>
      </w:r>
    </w:p>
    <w:p w:rsidR="00F04D59" w:rsidRPr="00B91E1C" w:rsidRDefault="00F04D59" w:rsidP="007E54E0">
      <w:pPr>
        <w:spacing w:line="276" w:lineRule="auto"/>
        <w:jc w:val="both"/>
        <w:rPr>
          <w:rFonts w:ascii="Bookman Old Style" w:hAnsi="Bookman Old Style" w:cs="Tahoma"/>
          <w:sz w:val="22"/>
          <w:szCs w:val="22"/>
          <w:lang w:val="es-ES"/>
        </w:rPr>
      </w:pPr>
    </w:p>
    <w:p w:rsidR="00680B3A" w:rsidRPr="00B91E1C" w:rsidRDefault="005B5292" w:rsidP="007E54E0">
      <w:pPr>
        <w:spacing w:line="276" w:lineRule="auto"/>
        <w:jc w:val="both"/>
        <w:rPr>
          <w:rFonts w:ascii="Bookman Old Style" w:hAnsi="Bookman Old Style" w:cs="Tahoma"/>
          <w:sz w:val="22"/>
          <w:szCs w:val="22"/>
          <w:lang w:val="es-ES"/>
        </w:rPr>
      </w:pPr>
      <w:r w:rsidRPr="00B91E1C">
        <w:rPr>
          <w:rFonts w:ascii="Bookman Old Style" w:hAnsi="Bookman Old Style" w:cs="Tahoma"/>
          <w:sz w:val="22"/>
          <w:szCs w:val="22"/>
          <w:lang w:val="es-ES"/>
        </w:rPr>
        <w:t xml:space="preserve">El 19 de noviembre de 2012, después de una </w:t>
      </w:r>
      <w:r w:rsidR="006C380C" w:rsidRPr="00B91E1C">
        <w:rPr>
          <w:rFonts w:ascii="Bookman Old Style" w:hAnsi="Bookman Old Style" w:cs="Tahoma"/>
          <w:sz w:val="22"/>
          <w:szCs w:val="22"/>
          <w:lang w:val="es-ES"/>
        </w:rPr>
        <w:t xml:space="preserve">larga </w:t>
      </w:r>
      <w:r w:rsidRPr="00B91E1C">
        <w:rPr>
          <w:rFonts w:ascii="Bookman Old Style" w:hAnsi="Bookman Old Style" w:cs="Tahoma"/>
          <w:sz w:val="22"/>
          <w:szCs w:val="22"/>
          <w:lang w:val="es-ES"/>
        </w:rPr>
        <w:t>marcha emprendida por la jurisprudencia de</w:t>
      </w:r>
      <w:r w:rsidR="00C67E79" w:rsidRPr="00B91E1C">
        <w:rPr>
          <w:rFonts w:ascii="Bookman Old Style" w:hAnsi="Bookman Old Style" w:cs="Tahoma"/>
          <w:sz w:val="22"/>
          <w:szCs w:val="22"/>
          <w:lang w:val="es-ES"/>
        </w:rPr>
        <w:t xml:space="preserve"> </w:t>
      </w:r>
      <w:r w:rsidRPr="00B91E1C">
        <w:rPr>
          <w:rFonts w:ascii="Bookman Old Style" w:hAnsi="Bookman Old Style" w:cs="Tahoma"/>
          <w:sz w:val="22"/>
          <w:szCs w:val="22"/>
          <w:lang w:val="es-ES"/>
        </w:rPr>
        <w:t>l</w:t>
      </w:r>
      <w:r w:rsidR="00C67E79" w:rsidRPr="00B91E1C">
        <w:rPr>
          <w:rFonts w:ascii="Bookman Old Style" w:hAnsi="Bookman Old Style" w:cs="Tahoma"/>
          <w:sz w:val="22"/>
          <w:szCs w:val="22"/>
          <w:lang w:val="es-ES"/>
        </w:rPr>
        <w:t>a Sección Tercera del</w:t>
      </w:r>
      <w:r w:rsidRPr="00B91E1C">
        <w:rPr>
          <w:rFonts w:ascii="Bookman Old Style" w:hAnsi="Bookman Old Style" w:cs="Tahoma"/>
          <w:sz w:val="22"/>
          <w:szCs w:val="22"/>
          <w:lang w:val="es-ES"/>
        </w:rPr>
        <w:t xml:space="preserve"> Consejo de Estado</w:t>
      </w:r>
      <w:r w:rsidR="00C67E79" w:rsidRPr="00B91E1C">
        <w:rPr>
          <w:rFonts w:ascii="Bookman Old Style" w:hAnsi="Bookman Old Style" w:cs="Tahoma"/>
          <w:sz w:val="22"/>
          <w:szCs w:val="22"/>
          <w:lang w:val="es-ES"/>
        </w:rPr>
        <w:t xml:space="preserve">, </w:t>
      </w:r>
      <w:r w:rsidRPr="00B91E1C">
        <w:rPr>
          <w:rFonts w:ascii="Bookman Old Style" w:hAnsi="Bookman Old Style" w:cs="Tahoma"/>
          <w:sz w:val="22"/>
          <w:szCs w:val="22"/>
          <w:lang w:val="es-ES"/>
        </w:rPr>
        <w:t>definiendo la aplicación, en materia contractual, de la teoría de los hechos cumplidos, del enriquecimiento sin causa y de</w:t>
      </w:r>
      <w:r w:rsidR="00054EEC" w:rsidRPr="00B91E1C">
        <w:rPr>
          <w:rFonts w:ascii="Bookman Old Style" w:hAnsi="Bookman Old Style" w:cs="Tahoma"/>
          <w:sz w:val="22"/>
          <w:szCs w:val="22"/>
          <w:lang w:val="es-ES"/>
        </w:rPr>
        <w:t xml:space="preserve"> </w:t>
      </w:r>
      <w:r w:rsidRPr="00B91E1C">
        <w:rPr>
          <w:rFonts w:ascii="Bookman Old Style" w:hAnsi="Bookman Old Style" w:cs="Tahoma"/>
          <w:sz w:val="22"/>
          <w:szCs w:val="22"/>
          <w:lang w:val="es-ES"/>
        </w:rPr>
        <w:t xml:space="preserve">la </w:t>
      </w:r>
      <w:r w:rsidRPr="00B91E1C">
        <w:rPr>
          <w:rFonts w:ascii="Bookman Old Style" w:hAnsi="Bookman Old Style" w:cs="Tahoma"/>
          <w:i/>
          <w:sz w:val="22"/>
          <w:szCs w:val="22"/>
          <w:lang w:val="es-ES"/>
        </w:rPr>
        <w:t>actio in rem verso</w:t>
      </w:r>
      <w:r w:rsidRPr="00B91E1C">
        <w:rPr>
          <w:rFonts w:ascii="Bookman Old Style" w:hAnsi="Bookman Old Style" w:cs="Tahoma"/>
          <w:sz w:val="22"/>
          <w:szCs w:val="22"/>
          <w:lang w:val="es-ES"/>
        </w:rPr>
        <w:t xml:space="preserve">, se produjo </w:t>
      </w:r>
      <w:r w:rsidR="00054EEC" w:rsidRPr="00B91E1C">
        <w:rPr>
          <w:rFonts w:ascii="Bookman Old Style" w:hAnsi="Bookman Old Style" w:cs="Tahoma"/>
          <w:i/>
          <w:sz w:val="22"/>
          <w:szCs w:val="22"/>
          <w:lang w:val="es-ES"/>
        </w:rPr>
        <w:t>una de las decisiones</w:t>
      </w:r>
      <w:r w:rsidR="00054EEC" w:rsidRPr="00B91E1C">
        <w:rPr>
          <w:rFonts w:ascii="Bookman Old Style" w:hAnsi="Bookman Old Style" w:cs="Tahoma"/>
          <w:sz w:val="22"/>
          <w:szCs w:val="22"/>
          <w:lang w:val="es-ES"/>
        </w:rPr>
        <w:t xml:space="preserve"> má</w:t>
      </w:r>
      <w:r w:rsidR="00C67E79" w:rsidRPr="00B91E1C">
        <w:rPr>
          <w:rFonts w:ascii="Bookman Old Style" w:hAnsi="Bookman Old Style" w:cs="Tahoma"/>
          <w:sz w:val="22"/>
          <w:szCs w:val="22"/>
          <w:lang w:val="es-ES"/>
        </w:rPr>
        <w:t>s emblemáticas</w:t>
      </w:r>
      <w:r w:rsidR="008B41C7" w:rsidRPr="00B91E1C">
        <w:rPr>
          <w:rFonts w:ascii="Bookman Old Style" w:hAnsi="Bookman Old Style" w:cs="Tahoma"/>
          <w:sz w:val="22"/>
          <w:szCs w:val="22"/>
          <w:lang w:val="es-ES"/>
        </w:rPr>
        <w:t xml:space="preserve"> del tema</w:t>
      </w:r>
      <w:r w:rsidR="00C67E79" w:rsidRPr="00B91E1C">
        <w:rPr>
          <w:rFonts w:ascii="Bookman Old Style" w:hAnsi="Bookman Old Style" w:cs="Tahoma"/>
          <w:sz w:val="22"/>
          <w:szCs w:val="22"/>
          <w:lang w:val="es-ES"/>
        </w:rPr>
        <w:t>.</w:t>
      </w:r>
      <w:r w:rsidR="00AC4443" w:rsidRPr="00B91E1C">
        <w:rPr>
          <w:rFonts w:ascii="Bookman Old Style" w:hAnsi="Bookman Old Style" w:cs="Tahoma"/>
          <w:sz w:val="22"/>
          <w:szCs w:val="22"/>
          <w:lang w:val="es-ES"/>
        </w:rPr>
        <w:t xml:space="preserve"> </w:t>
      </w:r>
      <w:r w:rsidR="0005116B" w:rsidRPr="00B91E1C">
        <w:rPr>
          <w:rFonts w:ascii="Bookman Old Style" w:hAnsi="Bookman Old Style" w:cs="Tahoma"/>
          <w:sz w:val="22"/>
          <w:szCs w:val="22"/>
          <w:lang w:val="es-ES"/>
        </w:rPr>
        <w:t>La</w:t>
      </w:r>
      <w:r w:rsidR="00C67E79" w:rsidRPr="00B91E1C">
        <w:rPr>
          <w:rFonts w:ascii="Bookman Old Style" w:hAnsi="Bookman Old Style" w:cs="Tahoma"/>
          <w:sz w:val="22"/>
          <w:szCs w:val="22"/>
          <w:lang w:val="es-ES"/>
        </w:rPr>
        <w:t xml:space="preserve"> </w:t>
      </w:r>
      <w:r w:rsidR="00680B3A" w:rsidRPr="00B91E1C">
        <w:rPr>
          <w:rFonts w:ascii="Bookman Old Style" w:hAnsi="Bookman Old Style" w:cs="Tahoma"/>
          <w:sz w:val="22"/>
          <w:szCs w:val="22"/>
          <w:lang w:val="es-ES"/>
        </w:rPr>
        <w:t>defino</w:t>
      </w:r>
      <w:r w:rsidR="00E92B7C" w:rsidRPr="00B91E1C">
        <w:rPr>
          <w:rFonts w:ascii="Bookman Old Style" w:hAnsi="Bookman Old Style" w:cs="Tahoma"/>
          <w:sz w:val="22"/>
          <w:szCs w:val="22"/>
          <w:lang w:val="es-ES"/>
        </w:rPr>
        <w:t xml:space="preserve"> como </w:t>
      </w:r>
      <w:r w:rsidR="00E03463" w:rsidRPr="00B91E1C">
        <w:rPr>
          <w:rFonts w:ascii="Bookman Old Style" w:hAnsi="Bookman Old Style" w:cs="Tahoma"/>
          <w:sz w:val="22"/>
          <w:szCs w:val="22"/>
          <w:lang w:val="es-ES"/>
        </w:rPr>
        <w:t>«</w:t>
      </w:r>
      <w:r w:rsidR="00C67E79" w:rsidRPr="00B91E1C">
        <w:rPr>
          <w:rFonts w:ascii="Bookman Old Style" w:hAnsi="Bookman Old Style" w:cs="Tahoma"/>
          <w:i/>
          <w:sz w:val="22"/>
          <w:szCs w:val="22"/>
          <w:lang w:val="es-ES"/>
        </w:rPr>
        <w:t>una de las</w:t>
      </w:r>
      <w:r w:rsidR="00AC4443" w:rsidRPr="00B91E1C">
        <w:rPr>
          <w:rFonts w:ascii="Bookman Old Style" w:hAnsi="Bookman Old Style" w:cs="Tahoma"/>
          <w:i/>
          <w:sz w:val="22"/>
          <w:szCs w:val="22"/>
          <w:lang w:val="es-ES"/>
        </w:rPr>
        <w:t xml:space="preserve"> decisiones</w:t>
      </w:r>
      <w:r w:rsidR="00E03463" w:rsidRPr="00B91E1C">
        <w:rPr>
          <w:rFonts w:ascii="Bookman Old Style" w:hAnsi="Bookman Old Style" w:cs="Tahoma"/>
          <w:sz w:val="22"/>
          <w:szCs w:val="22"/>
          <w:lang w:val="es-ES"/>
        </w:rPr>
        <w:t>»</w:t>
      </w:r>
      <w:r w:rsidR="00C67E79" w:rsidRPr="00B91E1C">
        <w:rPr>
          <w:rFonts w:ascii="Bookman Old Style" w:hAnsi="Bookman Old Style" w:cs="Tahoma"/>
          <w:sz w:val="22"/>
          <w:szCs w:val="22"/>
          <w:lang w:val="es-ES"/>
        </w:rPr>
        <w:t xml:space="preserve"> </w:t>
      </w:r>
      <w:r w:rsidR="00E03463" w:rsidRPr="00B91E1C">
        <w:rPr>
          <w:rFonts w:ascii="Bookman Old Style" w:hAnsi="Bookman Old Style" w:cs="Tahoma"/>
          <w:sz w:val="22"/>
          <w:szCs w:val="22"/>
          <w:lang w:val="es-ES"/>
        </w:rPr>
        <w:t xml:space="preserve">porque </w:t>
      </w:r>
      <w:r w:rsidR="00680B3A" w:rsidRPr="00B91E1C">
        <w:rPr>
          <w:rFonts w:ascii="Bookman Old Style" w:hAnsi="Bookman Old Style" w:cs="Tahoma"/>
          <w:sz w:val="22"/>
          <w:szCs w:val="22"/>
          <w:lang w:val="es-ES"/>
        </w:rPr>
        <w:t>todas</w:t>
      </w:r>
      <w:r w:rsidR="008B41C7" w:rsidRPr="00B91E1C">
        <w:rPr>
          <w:rFonts w:ascii="Bookman Old Style" w:hAnsi="Bookman Old Style" w:cs="Tahoma"/>
          <w:sz w:val="22"/>
          <w:szCs w:val="22"/>
          <w:lang w:val="es-ES"/>
        </w:rPr>
        <w:t xml:space="preserve"> </w:t>
      </w:r>
      <w:r w:rsidR="00E03463" w:rsidRPr="00B91E1C">
        <w:rPr>
          <w:rFonts w:ascii="Bookman Old Style" w:hAnsi="Bookman Old Style" w:cs="Tahoma"/>
          <w:sz w:val="22"/>
          <w:szCs w:val="22"/>
          <w:lang w:val="es-ES"/>
        </w:rPr>
        <w:t>las que ha</w:t>
      </w:r>
      <w:r w:rsidR="00680B3A" w:rsidRPr="00B91E1C">
        <w:rPr>
          <w:rFonts w:ascii="Bookman Old Style" w:hAnsi="Bookman Old Style" w:cs="Tahoma"/>
          <w:sz w:val="22"/>
          <w:szCs w:val="22"/>
          <w:lang w:val="es-ES"/>
        </w:rPr>
        <w:t>n</w:t>
      </w:r>
      <w:r w:rsidR="00E03463" w:rsidRPr="00B91E1C">
        <w:rPr>
          <w:rFonts w:ascii="Bookman Old Style" w:hAnsi="Bookman Old Style" w:cs="Tahoma"/>
          <w:sz w:val="22"/>
          <w:szCs w:val="22"/>
          <w:lang w:val="es-ES"/>
        </w:rPr>
        <w:t xml:space="preserve"> </w:t>
      </w:r>
      <w:r w:rsidR="00AC4443" w:rsidRPr="00B91E1C">
        <w:rPr>
          <w:rFonts w:ascii="Bookman Old Style" w:hAnsi="Bookman Old Style" w:cs="Tahoma"/>
          <w:sz w:val="22"/>
          <w:szCs w:val="22"/>
          <w:lang w:val="es-ES"/>
        </w:rPr>
        <w:t xml:space="preserve">marcado un hito en </w:t>
      </w:r>
      <w:r w:rsidR="00E03463" w:rsidRPr="00B91E1C">
        <w:rPr>
          <w:rFonts w:ascii="Bookman Old Style" w:hAnsi="Bookman Old Style" w:cs="Tahoma"/>
          <w:sz w:val="22"/>
          <w:szCs w:val="22"/>
          <w:lang w:val="es-ES"/>
        </w:rPr>
        <w:t xml:space="preserve">esta historia </w:t>
      </w:r>
      <w:r w:rsidR="00E92B7C" w:rsidRPr="00B91E1C">
        <w:rPr>
          <w:rFonts w:ascii="Bookman Old Style" w:hAnsi="Bookman Old Style" w:cs="Tahoma"/>
          <w:sz w:val="22"/>
          <w:szCs w:val="22"/>
          <w:lang w:val="es-ES"/>
        </w:rPr>
        <w:t>tuv</w:t>
      </w:r>
      <w:r w:rsidR="0005116B" w:rsidRPr="00B91E1C">
        <w:rPr>
          <w:rFonts w:ascii="Bookman Old Style" w:hAnsi="Bookman Old Style" w:cs="Tahoma"/>
          <w:sz w:val="22"/>
          <w:szCs w:val="22"/>
          <w:lang w:val="es-ES"/>
        </w:rPr>
        <w:t>ieron</w:t>
      </w:r>
      <w:r w:rsidR="00E03463" w:rsidRPr="00B91E1C">
        <w:rPr>
          <w:rFonts w:ascii="Bookman Old Style" w:hAnsi="Bookman Old Style" w:cs="Tahoma"/>
          <w:sz w:val="22"/>
          <w:szCs w:val="22"/>
          <w:lang w:val="es-ES"/>
        </w:rPr>
        <w:t xml:space="preserve"> la misma importancia</w:t>
      </w:r>
      <w:r w:rsidR="008B41C7" w:rsidRPr="00B91E1C">
        <w:rPr>
          <w:rFonts w:ascii="Bookman Old Style" w:hAnsi="Bookman Old Style" w:cs="Tahoma"/>
          <w:sz w:val="22"/>
          <w:szCs w:val="22"/>
          <w:lang w:val="es-ES"/>
        </w:rPr>
        <w:t xml:space="preserve"> temporal</w:t>
      </w:r>
      <w:r w:rsidR="00E03463" w:rsidRPr="00B91E1C">
        <w:rPr>
          <w:rFonts w:ascii="Bookman Old Style" w:hAnsi="Bookman Old Style" w:cs="Tahoma"/>
          <w:sz w:val="22"/>
          <w:szCs w:val="22"/>
          <w:lang w:val="es-ES"/>
        </w:rPr>
        <w:t xml:space="preserve">, pero, claro está, la del 2012 </w:t>
      </w:r>
      <w:r w:rsidR="006C380C" w:rsidRPr="00B91E1C">
        <w:rPr>
          <w:rFonts w:ascii="Bookman Old Style" w:hAnsi="Bookman Old Style" w:cs="Tahoma"/>
          <w:sz w:val="22"/>
          <w:szCs w:val="22"/>
          <w:lang w:val="es-ES"/>
        </w:rPr>
        <w:t>es la última</w:t>
      </w:r>
      <w:r w:rsidR="008B41C7" w:rsidRPr="00B91E1C">
        <w:rPr>
          <w:rFonts w:ascii="Bookman Old Style" w:hAnsi="Bookman Old Style" w:cs="Tahoma"/>
          <w:sz w:val="22"/>
          <w:szCs w:val="22"/>
          <w:lang w:val="es-ES"/>
        </w:rPr>
        <w:t>, la vigente,</w:t>
      </w:r>
      <w:r w:rsidR="006C380C" w:rsidRPr="00B91E1C">
        <w:rPr>
          <w:rFonts w:ascii="Bookman Old Style" w:hAnsi="Bookman Old Style" w:cs="Tahoma"/>
          <w:sz w:val="22"/>
          <w:szCs w:val="22"/>
          <w:lang w:val="es-ES"/>
        </w:rPr>
        <w:t xml:space="preserve"> y además </w:t>
      </w:r>
      <w:r w:rsidR="00E03463" w:rsidRPr="00B91E1C">
        <w:rPr>
          <w:rFonts w:ascii="Bookman Old Style" w:hAnsi="Bookman Old Style" w:cs="Tahoma"/>
          <w:sz w:val="22"/>
          <w:szCs w:val="22"/>
          <w:lang w:val="es-ES"/>
        </w:rPr>
        <w:t xml:space="preserve">tiene el valor, el </w:t>
      </w:r>
      <w:r w:rsidR="00E03463" w:rsidRPr="00B91E1C">
        <w:rPr>
          <w:rFonts w:ascii="Bookman Old Style" w:hAnsi="Bookman Old Style" w:cs="Tahoma"/>
          <w:i/>
          <w:sz w:val="22"/>
          <w:szCs w:val="22"/>
          <w:lang w:val="es-ES"/>
        </w:rPr>
        <w:t>plus</w:t>
      </w:r>
      <w:r w:rsidR="00E03463" w:rsidRPr="00B91E1C">
        <w:rPr>
          <w:rFonts w:ascii="Bookman Old Style" w:hAnsi="Bookman Old Style" w:cs="Tahoma"/>
          <w:sz w:val="22"/>
          <w:szCs w:val="22"/>
          <w:lang w:val="es-ES"/>
        </w:rPr>
        <w:t xml:space="preserve">, de ser </w:t>
      </w:r>
      <w:r w:rsidR="00E92B7C" w:rsidRPr="00B91E1C">
        <w:rPr>
          <w:rFonts w:ascii="Bookman Old Style" w:hAnsi="Bookman Old Style" w:cs="Tahoma"/>
          <w:sz w:val="22"/>
          <w:szCs w:val="22"/>
          <w:lang w:val="es-ES"/>
        </w:rPr>
        <w:t xml:space="preserve">una </w:t>
      </w:r>
      <w:r w:rsidR="00E03463" w:rsidRPr="00B91E1C">
        <w:rPr>
          <w:rFonts w:ascii="Bookman Old Style" w:hAnsi="Bookman Old Style" w:cs="Tahoma"/>
          <w:sz w:val="22"/>
          <w:szCs w:val="22"/>
          <w:lang w:val="es-ES"/>
        </w:rPr>
        <w:t>sentencia de unificación</w:t>
      </w:r>
      <w:r w:rsidR="00AC4443" w:rsidRPr="00B91E1C">
        <w:rPr>
          <w:rFonts w:ascii="Bookman Old Style" w:hAnsi="Bookman Old Style" w:cs="Tahoma"/>
          <w:sz w:val="22"/>
          <w:szCs w:val="22"/>
          <w:lang w:val="es-ES"/>
        </w:rPr>
        <w:t>.</w:t>
      </w:r>
      <w:r w:rsidR="00596374" w:rsidRPr="00B91E1C">
        <w:rPr>
          <w:rFonts w:ascii="Bookman Old Style" w:hAnsi="Bookman Old Style" w:cs="Tahoma"/>
          <w:sz w:val="22"/>
          <w:szCs w:val="22"/>
          <w:lang w:val="es-ES"/>
        </w:rPr>
        <w:t xml:space="preserve"> </w:t>
      </w:r>
    </w:p>
    <w:p w:rsidR="005B5292" w:rsidRPr="00B91E1C" w:rsidRDefault="00596374" w:rsidP="00680B3A">
      <w:pPr>
        <w:spacing w:line="276" w:lineRule="auto"/>
        <w:ind w:firstLine="708"/>
        <w:jc w:val="both"/>
        <w:rPr>
          <w:rFonts w:ascii="Bookman Old Style" w:hAnsi="Bookman Old Style" w:cs="Tahoma"/>
          <w:sz w:val="22"/>
          <w:szCs w:val="22"/>
          <w:lang w:val="es-ES"/>
        </w:rPr>
      </w:pPr>
      <w:r w:rsidRPr="00B91E1C">
        <w:rPr>
          <w:rFonts w:ascii="Bookman Old Style" w:hAnsi="Bookman Old Style" w:cs="Tahoma"/>
          <w:sz w:val="22"/>
          <w:szCs w:val="22"/>
          <w:lang w:val="es-ES"/>
        </w:rPr>
        <w:t xml:space="preserve">Esta </w:t>
      </w:r>
      <w:r w:rsidR="006C380C" w:rsidRPr="00B91E1C">
        <w:rPr>
          <w:rFonts w:ascii="Bookman Old Style" w:hAnsi="Bookman Old Style" w:cs="Tahoma"/>
          <w:sz w:val="22"/>
          <w:szCs w:val="22"/>
          <w:lang w:val="es-ES"/>
        </w:rPr>
        <w:t>decisión</w:t>
      </w:r>
      <w:r w:rsidRPr="00B91E1C">
        <w:rPr>
          <w:rFonts w:ascii="Bookman Old Style" w:hAnsi="Bookman Old Style" w:cs="Tahoma"/>
          <w:sz w:val="22"/>
          <w:szCs w:val="22"/>
          <w:lang w:val="es-ES"/>
        </w:rPr>
        <w:t xml:space="preserve"> se comentar</w:t>
      </w:r>
      <w:r w:rsidR="0005116B" w:rsidRPr="00B91E1C">
        <w:rPr>
          <w:rFonts w:ascii="Bookman Old Style" w:hAnsi="Bookman Old Style" w:cs="Tahoma"/>
          <w:sz w:val="22"/>
          <w:szCs w:val="22"/>
          <w:lang w:val="es-ES"/>
        </w:rPr>
        <w:t>á</w:t>
      </w:r>
      <w:r w:rsidR="008B41C7" w:rsidRPr="00B91E1C">
        <w:rPr>
          <w:rFonts w:ascii="Bookman Old Style" w:hAnsi="Bookman Old Style" w:cs="Tahoma"/>
          <w:sz w:val="22"/>
          <w:szCs w:val="22"/>
          <w:lang w:val="es-ES"/>
        </w:rPr>
        <w:t xml:space="preserve"> a continuación,</w:t>
      </w:r>
      <w:r w:rsidRPr="00B91E1C">
        <w:rPr>
          <w:rFonts w:ascii="Bookman Old Style" w:hAnsi="Bookman Old Style" w:cs="Tahoma"/>
          <w:sz w:val="22"/>
          <w:szCs w:val="22"/>
          <w:lang w:val="es-ES"/>
        </w:rPr>
        <w:t xml:space="preserve"> en est</w:t>
      </w:r>
      <w:r w:rsidR="00307FC6" w:rsidRPr="00B91E1C">
        <w:rPr>
          <w:rFonts w:ascii="Bookman Old Style" w:hAnsi="Bookman Old Style" w:cs="Tahoma"/>
          <w:sz w:val="22"/>
          <w:szCs w:val="22"/>
          <w:lang w:val="es-ES"/>
        </w:rPr>
        <w:t xml:space="preserve">e espacio </w:t>
      </w:r>
      <w:r w:rsidR="00680B3A" w:rsidRPr="00B91E1C">
        <w:rPr>
          <w:rFonts w:ascii="Bookman Old Style" w:hAnsi="Bookman Old Style" w:cs="Tahoma"/>
          <w:sz w:val="22"/>
          <w:szCs w:val="22"/>
          <w:lang w:val="es-ES"/>
        </w:rPr>
        <w:t xml:space="preserve">tan valioso </w:t>
      </w:r>
      <w:r w:rsidR="00307FC6" w:rsidRPr="00B91E1C">
        <w:rPr>
          <w:rFonts w:ascii="Bookman Old Style" w:hAnsi="Bookman Old Style" w:cs="Tahoma"/>
          <w:sz w:val="22"/>
          <w:szCs w:val="22"/>
          <w:lang w:val="es-ES"/>
        </w:rPr>
        <w:t xml:space="preserve">de la </w:t>
      </w:r>
      <w:r w:rsidRPr="00B91E1C">
        <w:rPr>
          <w:rFonts w:ascii="Bookman Old Style" w:hAnsi="Bookman Old Style" w:cs="Tahoma"/>
          <w:sz w:val="22"/>
          <w:szCs w:val="22"/>
          <w:lang w:val="es-ES"/>
        </w:rPr>
        <w:t>página web del CEDA.</w:t>
      </w:r>
    </w:p>
    <w:p w:rsidR="00A16D76" w:rsidRPr="00B91E1C" w:rsidRDefault="00A16D76" w:rsidP="007E54E0">
      <w:pPr>
        <w:spacing w:line="276" w:lineRule="auto"/>
        <w:rPr>
          <w:rFonts w:ascii="Bookman Old Style" w:hAnsi="Bookman Old Style"/>
          <w:sz w:val="22"/>
          <w:szCs w:val="22"/>
          <w:lang w:val="es-ES"/>
        </w:rPr>
      </w:pPr>
    </w:p>
    <w:p w:rsidR="00797722" w:rsidRPr="00B91E1C" w:rsidRDefault="00797722" w:rsidP="007E54E0">
      <w:pPr>
        <w:spacing w:line="276" w:lineRule="auto"/>
        <w:jc w:val="both"/>
        <w:rPr>
          <w:rFonts w:ascii="Bookman Old Style" w:hAnsi="Bookman Old Style"/>
          <w:b/>
          <w:sz w:val="22"/>
          <w:szCs w:val="22"/>
          <w:lang w:val="es-ES"/>
        </w:rPr>
      </w:pPr>
      <w:r w:rsidRPr="00B91E1C">
        <w:rPr>
          <w:rFonts w:ascii="Bookman Old Style" w:hAnsi="Bookman Old Style"/>
          <w:b/>
          <w:sz w:val="22"/>
          <w:szCs w:val="22"/>
          <w:lang w:val="es-ES"/>
        </w:rPr>
        <w:t xml:space="preserve">1. </w:t>
      </w:r>
      <w:r w:rsidR="0043203B" w:rsidRPr="00B91E1C">
        <w:rPr>
          <w:rFonts w:ascii="Bookman Old Style" w:hAnsi="Bookman Old Style"/>
          <w:b/>
          <w:sz w:val="22"/>
          <w:szCs w:val="22"/>
          <w:lang w:val="es-ES"/>
        </w:rPr>
        <w:t>Plan</w:t>
      </w:r>
      <w:r w:rsidR="0092681D" w:rsidRPr="00B91E1C">
        <w:rPr>
          <w:rFonts w:ascii="Bookman Old Style" w:hAnsi="Bookman Old Style"/>
          <w:b/>
          <w:sz w:val="22"/>
          <w:szCs w:val="22"/>
          <w:lang w:val="es-ES"/>
        </w:rPr>
        <w:t xml:space="preserve">teamiento del </w:t>
      </w:r>
      <w:r w:rsidR="006C380C" w:rsidRPr="00B91E1C">
        <w:rPr>
          <w:rFonts w:ascii="Bookman Old Style" w:hAnsi="Bookman Old Style"/>
          <w:b/>
          <w:sz w:val="22"/>
          <w:szCs w:val="22"/>
          <w:lang w:val="es-ES"/>
        </w:rPr>
        <w:t>caso</w:t>
      </w:r>
    </w:p>
    <w:p w:rsidR="00797722" w:rsidRPr="00B91E1C" w:rsidRDefault="00797722" w:rsidP="007E54E0">
      <w:pPr>
        <w:pStyle w:val="Ttulo3"/>
        <w:tabs>
          <w:tab w:val="left" w:pos="4500"/>
          <w:tab w:val="left" w:pos="7088"/>
        </w:tabs>
        <w:spacing w:line="276" w:lineRule="auto"/>
        <w:jc w:val="both"/>
        <w:rPr>
          <w:rFonts w:ascii="Bookman Old Style" w:hAnsi="Bookman Old Style"/>
          <w:bCs/>
          <w:iCs/>
          <w:sz w:val="22"/>
          <w:szCs w:val="22"/>
          <w:lang w:val="es-ES"/>
        </w:rPr>
      </w:pPr>
    </w:p>
    <w:p w:rsidR="009E197F" w:rsidRPr="00B91E1C" w:rsidRDefault="00A31499" w:rsidP="007E54E0">
      <w:pPr>
        <w:pStyle w:val="Ttulo3"/>
        <w:tabs>
          <w:tab w:val="left" w:pos="4500"/>
          <w:tab w:val="left" w:pos="7088"/>
        </w:tabs>
        <w:spacing w:line="276" w:lineRule="auto"/>
        <w:jc w:val="both"/>
        <w:rPr>
          <w:rFonts w:ascii="Bookman Old Style" w:hAnsi="Bookman Old Style"/>
          <w:bCs/>
          <w:iCs/>
          <w:sz w:val="22"/>
          <w:szCs w:val="22"/>
          <w:lang w:val="es-ES"/>
        </w:rPr>
      </w:pPr>
      <w:r w:rsidRPr="00B91E1C">
        <w:rPr>
          <w:rFonts w:ascii="Bookman Old Style" w:hAnsi="Bookman Old Style"/>
          <w:bCs/>
          <w:iCs/>
          <w:sz w:val="22"/>
          <w:szCs w:val="22"/>
          <w:lang w:val="es-ES"/>
        </w:rPr>
        <w:t xml:space="preserve">La </w:t>
      </w:r>
      <w:r w:rsidR="006C380C" w:rsidRPr="00B91E1C">
        <w:rPr>
          <w:rFonts w:ascii="Bookman Old Style" w:hAnsi="Bookman Old Style"/>
          <w:bCs/>
          <w:iCs/>
          <w:sz w:val="22"/>
          <w:szCs w:val="22"/>
          <w:lang w:val="es-ES"/>
        </w:rPr>
        <w:t>Sección Tercera</w:t>
      </w:r>
      <w:r w:rsidRPr="00B91E1C">
        <w:rPr>
          <w:rFonts w:ascii="Bookman Old Style" w:hAnsi="Bookman Old Style"/>
          <w:bCs/>
          <w:iCs/>
          <w:sz w:val="22"/>
          <w:szCs w:val="22"/>
          <w:lang w:val="es-ES"/>
        </w:rPr>
        <w:t xml:space="preserve"> recibió en apelación una sentencia</w:t>
      </w:r>
      <w:r w:rsidR="0095687B" w:rsidRPr="00B91E1C">
        <w:rPr>
          <w:rFonts w:ascii="Bookman Old Style" w:hAnsi="Bookman Old Style"/>
          <w:bCs/>
          <w:iCs/>
          <w:sz w:val="22"/>
          <w:szCs w:val="22"/>
          <w:lang w:val="es-ES"/>
        </w:rPr>
        <w:t xml:space="preserve"> de condena contra el Municipio de Melgar</w:t>
      </w:r>
      <w:r w:rsidRPr="00B91E1C">
        <w:rPr>
          <w:rFonts w:ascii="Bookman Old Style" w:hAnsi="Bookman Old Style"/>
          <w:bCs/>
          <w:iCs/>
          <w:sz w:val="22"/>
          <w:szCs w:val="22"/>
          <w:lang w:val="es-ES"/>
        </w:rPr>
        <w:t>, de conformidad con la cual debía pagar al demandante</w:t>
      </w:r>
      <w:r w:rsidR="009E197F" w:rsidRPr="00B91E1C">
        <w:rPr>
          <w:rFonts w:ascii="Bookman Old Style" w:hAnsi="Bookman Old Style"/>
          <w:bCs/>
          <w:iCs/>
          <w:sz w:val="22"/>
          <w:szCs w:val="22"/>
          <w:lang w:val="es-ES"/>
        </w:rPr>
        <w:t xml:space="preserve"> el valor de </w:t>
      </w:r>
      <w:r w:rsidR="006C380C" w:rsidRPr="00B91E1C">
        <w:rPr>
          <w:rFonts w:ascii="Bookman Old Style" w:hAnsi="Bookman Old Style"/>
          <w:bCs/>
          <w:iCs/>
          <w:sz w:val="22"/>
          <w:szCs w:val="22"/>
          <w:lang w:val="es-ES"/>
        </w:rPr>
        <w:t>unos</w:t>
      </w:r>
      <w:r w:rsidR="009E197F" w:rsidRPr="00B91E1C">
        <w:rPr>
          <w:rFonts w:ascii="Bookman Old Style" w:hAnsi="Bookman Old Style"/>
          <w:bCs/>
          <w:iCs/>
          <w:sz w:val="22"/>
          <w:szCs w:val="22"/>
          <w:lang w:val="es-ES"/>
        </w:rPr>
        <w:t xml:space="preserve"> trabajos ejecutados </w:t>
      </w:r>
      <w:r w:rsidR="006C380C" w:rsidRPr="00B91E1C">
        <w:rPr>
          <w:rFonts w:ascii="Bookman Old Style" w:hAnsi="Bookman Old Style"/>
          <w:bCs/>
          <w:iCs/>
          <w:sz w:val="22"/>
          <w:szCs w:val="22"/>
          <w:lang w:val="es-ES"/>
        </w:rPr>
        <w:t>en exceso de lo contratado</w:t>
      </w:r>
      <w:r w:rsidR="00190DE5" w:rsidRPr="00B91E1C">
        <w:rPr>
          <w:rFonts w:ascii="Bookman Old Style" w:hAnsi="Bookman Old Style"/>
          <w:bCs/>
          <w:iCs/>
          <w:sz w:val="22"/>
          <w:szCs w:val="22"/>
          <w:lang w:val="es-ES"/>
        </w:rPr>
        <w:t xml:space="preserve"> inicialmente</w:t>
      </w:r>
      <w:r w:rsidR="009E197F" w:rsidRPr="00B91E1C">
        <w:rPr>
          <w:rFonts w:ascii="Bookman Old Style" w:hAnsi="Bookman Old Style"/>
          <w:bCs/>
          <w:iCs/>
          <w:sz w:val="22"/>
          <w:szCs w:val="22"/>
          <w:lang w:val="es-ES"/>
        </w:rPr>
        <w:t>, pero sin contrato adicional</w:t>
      </w:r>
      <w:r w:rsidR="00190DE5" w:rsidRPr="00B91E1C">
        <w:rPr>
          <w:rFonts w:ascii="Bookman Old Style" w:hAnsi="Bookman Old Style"/>
          <w:bCs/>
          <w:iCs/>
          <w:sz w:val="22"/>
          <w:szCs w:val="22"/>
          <w:lang w:val="es-ES"/>
        </w:rPr>
        <w:t xml:space="preserve"> que lo</w:t>
      </w:r>
      <w:r w:rsidR="00DA7308" w:rsidRPr="00B91E1C">
        <w:rPr>
          <w:rFonts w:ascii="Bookman Old Style" w:hAnsi="Bookman Old Style"/>
          <w:bCs/>
          <w:iCs/>
          <w:sz w:val="22"/>
          <w:szCs w:val="22"/>
          <w:lang w:val="es-ES"/>
        </w:rPr>
        <w:t>s</w:t>
      </w:r>
      <w:r w:rsidR="00190DE5" w:rsidRPr="00B91E1C">
        <w:rPr>
          <w:rFonts w:ascii="Bookman Old Style" w:hAnsi="Bookman Old Style"/>
          <w:bCs/>
          <w:iCs/>
          <w:sz w:val="22"/>
          <w:szCs w:val="22"/>
          <w:lang w:val="es-ES"/>
        </w:rPr>
        <w:t xml:space="preserve"> respaldara</w:t>
      </w:r>
      <w:r w:rsidR="009E197F" w:rsidRPr="00B91E1C">
        <w:rPr>
          <w:rFonts w:ascii="Bookman Old Style" w:hAnsi="Bookman Old Style"/>
          <w:bCs/>
          <w:iCs/>
          <w:sz w:val="22"/>
          <w:szCs w:val="22"/>
          <w:lang w:val="es-ES"/>
        </w:rPr>
        <w:t xml:space="preserve">. La razón de la condena fue que si bien no se celebró </w:t>
      </w:r>
      <w:r w:rsidR="00BE4ED0" w:rsidRPr="00B91E1C">
        <w:rPr>
          <w:rFonts w:ascii="Bookman Old Style" w:hAnsi="Bookman Old Style"/>
          <w:bCs/>
          <w:iCs/>
          <w:sz w:val="22"/>
          <w:szCs w:val="22"/>
          <w:lang w:val="es-ES"/>
        </w:rPr>
        <w:t>un</w:t>
      </w:r>
      <w:r w:rsidR="009E197F" w:rsidRPr="00B91E1C">
        <w:rPr>
          <w:rFonts w:ascii="Bookman Old Style" w:hAnsi="Bookman Old Style"/>
          <w:bCs/>
          <w:iCs/>
          <w:sz w:val="22"/>
          <w:szCs w:val="22"/>
          <w:lang w:val="es-ES"/>
        </w:rPr>
        <w:t xml:space="preserve"> contrato adicional</w:t>
      </w:r>
      <w:r w:rsidR="00190DE5" w:rsidRPr="00B91E1C">
        <w:rPr>
          <w:rFonts w:ascii="Bookman Old Style" w:hAnsi="Bookman Old Style"/>
          <w:bCs/>
          <w:iCs/>
          <w:sz w:val="22"/>
          <w:szCs w:val="22"/>
          <w:lang w:val="es-ES"/>
        </w:rPr>
        <w:t xml:space="preserve"> –previamente a la ejecución</w:t>
      </w:r>
      <w:r w:rsidR="00DA7308" w:rsidRPr="00B91E1C">
        <w:rPr>
          <w:rFonts w:ascii="Bookman Old Style" w:hAnsi="Bookman Old Style"/>
          <w:bCs/>
          <w:iCs/>
          <w:sz w:val="22"/>
          <w:szCs w:val="22"/>
          <w:lang w:val="es-ES"/>
        </w:rPr>
        <w:t xml:space="preserve"> del trabajo</w:t>
      </w:r>
      <w:r w:rsidR="00190DE5" w:rsidRPr="00B91E1C">
        <w:rPr>
          <w:rFonts w:ascii="Bookman Old Style" w:hAnsi="Bookman Old Style"/>
          <w:bCs/>
          <w:iCs/>
          <w:sz w:val="22"/>
          <w:szCs w:val="22"/>
          <w:lang w:val="es-ES"/>
        </w:rPr>
        <w:t>–</w:t>
      </w:r>
      <w:r w:rsidR="0045405A" w:rsidRPr="00B91E1C">
        <w:rPr>
          <w:rFonts w:ascii="Bookman Old Style" w:hAnsi="Bookman Old Style"/>
          <w:bCs/>
          <w:iCs/>
          <w:sz w:val="22"/>
          <w:szCs w:val="22"/>
          <w:lang w:val="es-ES"/>
        </w:rPr>
        <w:t>,</w:t>
      </w:r>
      <w:r w:rsidR="009E197F" w:rsidRPr="00B91E1C">
        <w:rPr>
          <w:rFonts w:ascii="Bookman Old Style" w:hAnsi="Bookman Old Style"/>
          <w:bCs/>
          <w:iCs/>
          <w:sz w:val="22"/>
          <w:szCs w:val="22"/>
          <w:lang w:val="es-ES"/>
        </w:rPr>
        <w:t xml:space="preserve"> con las formalidades que exige la Ley 80 de 1993</w:t>
      </w:r>
      <w:r w:rsidR="00190DE5" w:rsidRPr="00B91E1C">
        <w:rPr>
          <w:rFonts w:ascii="Bookman Old Style" w:hAnsi="Bookman Old Style"/>
          <w:bCs/>
          <w:iCs/>
          <w:sz w:val="22"/>
          <w:szCs w:val="22"/>
          <w:lang w:val="es-ES"/>
        </w:rPr>
        <w:t>,</w:t>
      </w:r>
      <w:r w:rsidR="0045405A" w:rsidRPr="00B91E1C">
        <w:rPr>
          <w:rFonts w:ascii="Bookman Old Style" w:hAnsi="Bookman Old Style"/>
          <w:bCs/>
          <w:iCs/>
          <w:sz w:val="22"/>
          <w:szCs w:val="22"/>
          <w:lang w:val="es-ES"/>
        </w:rPr>
        <w:t xml:space="preserve"> </w:t>
      </w:r>
      <w:r w:rsidR="00DA7308" w:rsidRPr="00B91E1C">
        <w:rPr>
          <w:rFonts w:ascii="Bookman Old Style" w:hAnsi="Bookman Old Style"/>
          <w:bCs/>
          <w:iCs/>
          <w:sz w:val="22"/>
          <w:szCs w:val="22"/>
          <w:lang w:val="es-ES"/>
        </w:rPr>
        <w:t>la actividad</w:t>
      </w:r>
      <w:r w:rsidR="009E197F" w:rsidRPr="00B91E1C">
        <w:rPr>
          <w:rFonts w:ascii="Bookman Old Style" w:hAnsi="Bookman Old Style"/>
          <w:bCs/>
          <w:iCs/>
          <w:sz w:val="22"/>
          <w:szCs w:val="22"/>
          <w:lang w:val="es-ES"/>
        </w:rPr>
        <w:t xml:space="preserve"> se realizó y por tanto el </w:t>
      </w:r>
      <w:r w:rsidR="00DA7308" w:rsidRPr="00B91E1C">
        <w:rPr>
          <w:rFonts w:ascii="Bookman Old Style" w:hAnsi="Bookman Old Style"/>
          <w:bCs/>
          <w:iCs/>
          <w:sz w:val="22"/>
          <w:szCs w:val="22"/>
          <w:lang w:val="es-ES"/>
        </w:rPr>
        <w:t>m</w:t>
      </w:r>
      <w:r w:rsidR="009E197F" w:rsidRPr="00B91E1C">
        <w:rPr>
          <w:rFonts w:ascii="Bookman Old Style" w:hAnsi="Bookman Old Style"/>
          <w:bCs/>
          <w:iCs/>
          <w:sz w:val="22"/>
          <w:szCs w:val="22"/>
          <w:lang w:val="es-ES"/>
        </w:rPr>
        <w:t>unicipio no se podía enriquecer sin justa causa</w:t>
      </w:r>
      <w:r w:rsidR="00BE4ED0" w:rsidRPr="00B91E1C">
        <w:rPr>
          <w:rFonts w:ascii="Bookman Old Style" w:hAnsi="Bookman Old Style"/>
          <w:bCs/>
          <w:iCs/>
          <w:sz w:val="22"/>
          <w:szCs w:val="22"/>
          <w:lang w:val="es-ES"/>
        </w:rPr>
        <w:t xml:space="preserve">, dejando de </w:t>
      </w:r>
      <w:r w:rsidR="00DA7308" w:rsidRPr="00B91E1C">
        <w:rPr>
          <w:rFonts w:ascii="Bookman Old Style" w:hAnsi="Bookman Old Style"/>
          <w:bCs/>
          <w:iCs/>
          <w:sz w:val="22"/>
          <w:szCs w:val="22"/>
          <w:lang w:val="es-ES"/>
        </w:rPr>
        <w:t>reconocer el valor de</w:t>
      </w:r>
      <w:r w:rsidR="00BE4ED0" w:rsidRPr="00B91E1C">
        <w:rPr>
          <w:rFonts w:ascii="Bookman Old Style" w:hAnsi="Bookman Old Style"/>
          <w:bCs/>
          <w:iCs/>
          <w:sz w:val="22"/>
          <w:szCs w:val="22"/>
          <w:lang w:val="es-ES"/>
        </w:rPr>
        <w:t xml:space="preserve"> lo recibi</w:t>
      </w:r>
      <w:r w:rsidR="0043528A">
        <w:rPr>
          <w:rFonts w:ascii="Bookman Old Style" w:hAnsi="Bookman Old Style"/>
          <w:bCs/>
          <w:iCs/>
          <w:sz w:val="22"/>
          <w:szCs w:val="22"/>
          <w:lang w:val="es-ES"/>
        </w:rPr>
        <w:t>do</w:t>
      </w:r>
      <w:r w:rsidR="00BE4ED0" w:rsidRPr="00B91E1C">
        <w:rPr>
          <w:rFonts w:ascii="Bookman Old Style" w:hAnsi="Bookman Old Style"/>
          <w:bCs/>
          <w:iCs/>
          <w:sz w:val="22"/>
          <w:szCs w:val="22"/>
          <w:lang w:val="es-ES"/>
        </w:rPr>
        <w:t>.</w:t>
      </w:r>
    </w:p>
    <w:p w:rsidR="00502B1F" w:rsidRPr="00B91E1C" w:rsidRDefault="009E197F" w:rsidP="007E54E0">
      <w:pPr>
        <w:pStyle w:val="Ttulo3"/>
        <w:tabs>
          <w:tab w:val="left" w:pos="709"/>
          <w:tab w:val="left" w:pos="4500"/>
          <w:tab w:val="left" w:pos="7088"/>
        </w:tabs>
        <w:spacing w:line="276" w:lineRule="auto"/>
        <w:jc w:val="both"/>
        <w:rPr>
          <w:rFonts w:ascii="Bookman Old Style" w:hAnsi="Bookman Old Style"/>
          <w:bCs/>
          <w:iCs/>
          <w:sz w:val="22"/>
          <w:szCs w:val="22"/>
          <w:lang w:val="es-ES"/>
        </w:rPr>
      </w:pPr>
      <w:r w:rsidRPr="00B91E1C">
        <w:rPr>
          <w:rFonts w:ascii="Bookman Old Style" w:hAnsi="Bookman Old Style"/>
          <w:bCs/>
          <w:iCs/>
          <w:sz w:val="22"/>
          <w:szCs w:val="22"/>
          <w:lang w:val="es-ES"/>
        </w:rPr>
        <w:tab/>
        <w:t>El municipio</w:t>
      </w:r>
      <w:r w:rsidR="0045405A" w:rsidRPr="00B91E1C">
        <w:rPr>
          <w:rFonts w:ascii="Bookman Old Style" w:hAnsi="Bookman Old Style"/>
          <w:bCs/>
          <w:iCs/>
          <w:sz w:val="22"/>
          <w:szCs w:val="22"/>
          <w:lang w:val="es-ES"/>
        </w:rPr>
        <w:t xml:space="preserve"> </w:t>
      </w:r>
      <w:r w:rsidRPr="00B91E1C">
        <w:rPr>
          <w:rFonts w:ascii="Bookman Old Style" w:hAnsi="Bookman Old Style"/>
          <w:bCs/>
          <w:iCs/>
          <w:sz w:val="22"/>
          <w:szCs w:val="22"/>
          <w:lang w:val="es-ES"/>
        </w:rPr>
        <w:t xml:space="preserve">apeló </w:t>
      </w:r>
      <w:r w:rsidR="0045405A" w:rsidRPr="00B91E1C">
        <w:rPr>
          <w:rFonts w:ascii="Bookman Old Style" w:hAnsi="Bookman Old Style"/>
          <w:bCs/>
          <w:iCs/>
          <w:sz w:val="22"/>
          <w:szCs w:val="22"/>
          <w:lang w:val="es-ES"/>
        </w:rPr>
        <w:t>la decisión</w:t>
      </w:r>
      <w:r w:rsidR="00BE4ED0" w:rsidRPr="00B91E1C">
        <w:rPr>
          <w:rFonts w:ascii="Bookman Old Style" w:hAnsi="Bookman Old Style"/>
          <w:bCs/>
          <w:iCs/>
          <w:sz w:val="22"/>
          <w:szCs w:val="22"/>
          <w:lang w:val="es-ES"/>
        </w:rPr>
        <w:t>,</w:t>
      </w:r>
      <w:r w:rsidR="0045405A" w:rsidRPr="00B91E1C">
        <w:rPr>
          <w:rFonts w:ascii="Bookman Old Style" w:hAnsi="Bookman Old Style"/>
          <w:bCs/>
          <w:iCs/>
          <w:sz w:val="22"/>
          <w:szCs w:val="22"/>
          <w:lang w:val="es-ES"/>
        </w:rPr>
        <w:t xml:space="preserve"> alegando </w:t>
      </w:r>
      <w:r w:rsidRPr="00B91E1C">
        <w:rPr>
          <w:rFonts w:ascii="Bookman Old Style" w:hAnsi="Bookman Old Style"/>
          <w:bCs/>
          <w:iCs/>
          <w:sz w:val="22"/>
          <w:szCs w:val="22"/>
          <w:lang w:val="es-ES"/>
        </w:rPr>
        <w:t xml:space="preserve">dos </w:t>
      </w:r>
      <w:r w:rsidR="0045405A" w:rsidRPr="00B91E1C">
        <w:rPr>
          <w:rFonts w:ascii="Bookman Old Style" w:hAnsi="Bookman Old Style"/>
          <w:bCs/>
          <w:iCs/>
          <w:sz w:val="22"/>
          <w:szCs w:val="22"/>
          <w:lang w:val="es-ES"/>
        </w:rPr>
        <w:t>razones</w:t>
      </w:r>
      <w:r w:rsidRPr="00B91E1C">
        <w:rPr>
          <w:rFonts w:ascii="Bookman Old Style" w:hAnsi="Bookman Old Style"/>
          <w:bCs/>
          <w:iCs/>
          <w:sz w:val="22"/>
          <w:szCs w:val="22"/>
          <w:lang w:val="es-ES"/>
        </w:rPr>
        <w:t xml:space="preserve">: i) que al </w:t>
      </w:r>
      <w:r w:rsidR="00DA7308" w:rsidRPr="00B91E1C">
        <w:rPr>
          <w:rFonts w:ascii="Bookman Old Style" w:hAnsi="Bookman Old Style"/>
          <w:bCs/>
          <w:iCs/>
          <w:sz w:val="22"/>
          <w:szCs w:val="22"/>
          <w:lang w:val="es-ES"/>
        </w:rPr>
        <w:t>expediente</w:t>
      </w:r>
      <w:r w:rsidRPr="00B91E1C">
        <w:rPr>
          <w:rFonts w:ascii="Bookman Old Style" w:hAnsi="Bookman Old Style"/>
          <w:bCs/>
          <w:iCs/>
          <w:sz w:val="22"/>
          <w:szCs w:val="22"/>
          <w:lang w:val="es-ES"/>
        </w:rPr>
        <w:t xml:space="preserve"> se aportaron documentos en copia simple</w:t>
      </w:r>
      <w:r w:rsidR="0045405A" w:rsidRPr="00B91E1C">
        <w:rPr>
          <w:rFonts w:ascii="Bookman Old Style" w:hAnsi="Bookman Old Style"/>
          <w:bCs/>
          <w:iCs/>
          <w:sz w:val="22"/>
          <w:szCs w:val="22"/>
          <w:lang w:val="es-ES"/>
        </w:rPr>
        <w:t>,</w:t>
      </w:r>
      <w:r w:rsidR="00DA7308" w:rsidRPr="00B91E1C">
        <w:rPr>
          <w:rFonts w:ascii="Bookman Old Style" w:hAnsi="Bookman Old Style"/>
          <w:bCs/>
          <w:iCs/>
          <w:sz w:val="22"/>
          <w:szCs w:val="22"/>
          <w:lang w:val="es-ES"/>
        </w:rPr>
        <w:t xml:space="preserve"> por </w:t>
      </w:r>
      <w:proofErr w:type="gramStart"/>
      <w:r w:rsidR="00DA7308" w:rsidRPr="00B91E1C">
        <w:rPr>
          <w:rFonts w:ascii="Bookman Old Style" w:hAnsi="Bookman Old Style"/>
          <w:bCs/>
          <w:iCs/>
          <w:sz w:val="22"/>
          <w:szCs w:val="22"/>
          <w:lang w:val="es-ES"/>
        </w:rPr>
        <w:t>tanto</w:t>
      </w:r>
      <w:proofErr w:type="gramEnd"/>
      <w:r w:rsidR="00DA7308" w:rsidRPr="00B91E1C">
        <w:rPr>
          <w:rFonts w:ascii="Bookman Old Style" w:hAnsi="Bookman Old Style"/>
          <w:bCs/>
          <w:iCs/>
          <w:sz w:val="22"/>
          <w:szCs w:val="22"/>
          <w:lang w:val="es-ES"/>
        </w:rPr>
        <w:t xml:space="preserve"> no se podían valorar</w:t>
      </w:r>
      <w:r w:rsidRPr="00B91E1C">
        <w:rPr>
          <w:rFonts w:ascii="Bookman Old Style" w:hAnsi="Bookman Old Style"/>
          <w:bCs/>
          <w:iCs/>
          <w:sz w:val="22"/>
          <w:szCs w:val="22"/>
          <w:lang w:val="es-ES"/>
        </w:rPr>
        <w:t xml:space="preserve"> y ii) que el </w:t>
      </w:r>
      <w:r w:rsidR="00DA7308" w:rsidRPr="00B91E1C">
        <w:rPr>
          <w:rFonts w:ascii="Bookman Old Style" w:hAnsi="Bookman Old Style"/>
          <w:bCs/>
          <w:iCs/>
          <w:sz w:val="22"/>
          <w:szCs w:val="22"/>
          <w:lang w:val="es-ES"/>
        </w:rPr>
        <w:t>tribunal</w:t>
      </w:r>
      <w:r w:rsidRPr="00B91E1C">
        <w:rPr>
          <w:rFonts w:ascii="Bookman Old Style" w:hAnsi="Bookman Old Style"/>
          <w:bCs/>
          <w:iCs/>
          <w:sz w:val="22"/>
          <w:szCs w:val="22"/>
          <w:lang w:val="es-ES"/>
        </w:rPr>
        <w:t xml:space="preserve"> adecuó la acción contractual </w:t>
      </w:r>
      <w:r w:rsidR="0045405A" w:rsidRPr="00B91E1C">
        <w:rPr>
          <w:rFonts w:ascii="Bookman Old Style" w:hAnsi="Bookman Old Style"/>
          <w:bCs/>
          <w:iCs/>
          <w:sz w:val="22"/>
          <w:szCs w:val="22"/>
          <w:lang w:val="es-ES"/>
        </w:rPr>
        <w:t xml:space="preserve">que </w:t>
      </w:r>
      <w:r w:rsidRPr="00B91E1C">
        <w:rPr>
          <w:rFonts w:ascii="Bookman Old Style" w:hAnsi="Bookman Old Style"/>
          <w:bCs/>
          <w:iCs/>
          <w:sz w:val="22"/>
          <w:szCs w:val="22"/>
          <w:lang w:val="es-ES"/>
        </w:rPr>
        <w:t>ejerci</w:t>
      </w:r>
      <w:r w:rsidR="0045405A" w:rsidRPr="00B91E1C">
        <w:rPr>
          <w:rFonts w:ascii="Bookman Old Style" w:hAnsi="Bookman Old Style"/>
          <w:bCs/>
          <w:iCs/>
          <w:sz w:val="22"/>
          <w:szCs w:val="22"/>
          <w:lang w:val="es-ES"/>
        </w:rPr>
        <w:t>ó</w:t>
      </w:r>
      <w:r w:rsidRPr="00B91E1C">
        <w:rPr>
          <w:rFonts w:ascii="Bookman Old Style" w:hAnsi="Bookman Old Style"/>
          <w:bCs/>
          <w:iCs/>
          <w:sz w:val="22"/>
          <w:szCs w:val="22"/>
          <w:lang w:val="es-ES"/>
        </w:rPr>
        <w:t xml:space="preserve"> el demandante a la </w:t>
      </w:r>
      <w:r w:rsidRPr="00B91E1C">
        <w:rPr>
          <w:rFonts w:ascii="Bookman Old Style" w:hAnsi="Bookman Old Style"/>
          <w:bCs/>
          <w:i/>
          <w:iCs/>
          <w:sz w:val="22"/>
          <w:szCs w:val="22"/>
          <w:lang w:val="es-ES"/>
        </w:rPr>
        <w:t>actio in rem verso</w:t>
      </w:r>
      <w:r w:rsidRPr="00B91E1C">
        <w:rPr>
          <w:rFonts w:ascii="Bookman Old Style" w:hAnsi="Bookman Old Style"/>
          <w:bCs/>
          <w:iCs/>
          <w:sz w:val="22"/>
          <w:szCs w:val="22"/>
          <w:lang w:val="es-ES"/>
        </w:rPr>
        <w:t>, a</w:t>
      </w:r>
      <w:r w:rsidR="0045405A" w:rsidRPr="00B91E1C">
        <w:rPr>
          <w:rFonts w:ascii="Bookman Old Style" w:hAnsi="Bookman Old Style"/>
          <w:bCs/>
          <w:iCs/>
          <w:sz w:val="22"/>
          <w:szCs w:val="22"/>
          <w:lang w:val="es-ES"/>
        </w:rPr>
        <w:t xml:space="preserve">mparado en </w:t>
      </w:r>
      <w:r w:rsidRPr="00B91E1C">
        <w:rPr>
          <w:rFonts w:ascii="Bookman Old Style" w:hAnsi="Bookman Old Style"/>
          <w:bCs/>
          <w:iCs/>
          <w:sz w:val="22"/>
          <w:szCs w:val="22"/>
          <w:lang w:val="es-ES"/>
        </w:rPr>
        <w:t xml:space="preserve">el principio </w:t>
      </w:r>
      <w:proofErr w:type="spellStart"/>
      <w:r w:rsidRPr="00B91E1C">
        <w:rPr>
          <w:rFonts w:ascii="Bookman Old Style" w:hAnsi="Bookman Old Style"/>
          <w:bCs/>
          <w:i/>
          <w:iCs/>
          <w:sz w:val="22"/>
          <w:szCs w:val="22"/>
          <w:lang w:val="es-ES"/>
        </w:rPr>
        <w:t>iura</w:t>
      </w:r>
      <w:proofErr w:type="spellEnd"/>
      <w:r w:rsidRPr="00B91E1C">
        <w:rPr>
          <w:rFonts w:ascii="Bookman Old Style" w:hAnsi="Bookman Old Style"/>
          <w:bCs/>
          <w:i/>
          <w:iCs/>
          <w:sz w:val="22"/>
          <w:szCs w:val="22"/>
          <w:lang w:val="es-ES"/>
        </w:rPr>
        <w:t xml:space="preserve"> novit curia</w:t>
      </w:r>
      <w:r w:rsidR="00232B6B" w:rsidRPr="00B91E1C">
        <w:rPr>
          <w:rFonts w:ascii="Bookman Old Style" w:hAnsi="Bookman Old Style"/>
          <w:bCs/>
          <w:i/>
          <w:iCs/>
          <w:sz w:val="22"/>
          <w:szCs w:val="22"/>
          <w:lang w:val="es-ES"/>
        </w:rPr>
        <w:t xml:space="preserve">, </w:t>
      </w:r>
      <w:r w:rsidR="00232B6B" w:rsidRPr="00B91E1C">
        <w:rPr>
          <w:rFonts w:ascii="Bookman Old Style" w:hAnsi="Bookman Old Style"/>
          <w:bCs/>
          <w:iCs/>
          <w:sz w:val="22"/>
          <w:szCs w:val="22"/>
          <w:lang w:val="es-ES"/>
        </w:rPr>
        <w:t>viol</w:t>
      </w:r>
      <w:r w:rsidR="00DA7308" w:rsidRPr="00B91E1C">
        <w:rPr>
          <w:rFonts w:ascii="Bookman Old Style" w:hAnsi="Bookman Old Style"/>
          <w:bCs/>
          <w:iCs/>
          <w:sz w:val="22"/>
          <w:szCs w:val="22"/>
          <w:lang w:val="es-ES"/>
        </w:rPr>
        <w:t>ándole</w:t>
      </w:r>
      <w:r w:rsidR="00232B6B" w:rsidRPr="00B91E1C">
        <w:rPr>
          <w:rFonts w:ascii="Bookman Old Style" w:hAnsi="Bookman Old Style"/>
          <w:bCs/>
          <w:iCs/>
          <w:sz w:val="22"/>
          <w:szCs w:val="22"/>
          <w:lang w:val="es-ES"/>
        </w:rPr>
        <w:t xml:space="preserve"> </w:t>
      </w:r>
      <w:r w:rsidR="00BE4ED0" w:rsidRPr="00B91E1C">
        <w:rPr>
          <w:rFonts w:ascii="Bookman Old Style" w:hAnsi="Bookman Old Style"/>
          <w:bCs/>
          <w:iCs/>
          <w:sz w:val="22"/>
          <w:szCs w:val="22"/>
          <w:lang w:val="es-ES"/>
        </w:rPr>
        <w:t>el</w:t>
      </w:r>
      <w:r w:rsidR="00232B6B" w:rsidRPr="00B91E1C">
        <w:rPr>
          <w:rFonts w:ascii="Bookman Old Style" w:hAnsi="Bookman Old Style"/>
          <w:bCs/>
          <w:iCs/>
          <w:sz w:val="22"/>
          <w:szCs w:val="22"/>
          <w:lang w:val="es-ES"/>
        </w:rPr>
        <w:t xml:space="preserve"> derecho de defensa</w:t>
      </w:r>
      <w:r w:rsidR="00232B6B" w:rsidRPr="00B91E1C">
        <w:rPr>
          <w:rFonts w:ascii="Bookman Old Style" w:hAnsi="Bookman Old Style"/>
          <w:bCs/>
          <w:i/>
          <w:iCs/>
          <w:sz w:val="22"/>
          <w:szCs w:val="22"/>
          <w:lang w:val="es-ES"/>
        </w:rPr>
        <w:t>.</w:t>
      </w:r>
    </w:p>
    <w:p w:rsidR="00D87700" w:rsidRPr="00B91E1C" w:rsidRDefault="00ED1AA4" w:rsidP="007E54E0">
      <w:pPr>
        <w:spacing w:line="276" w:lineRule="auto"/>
        <w:jc w:val="both"/>
        <w:rPr>
          <w:rFonts w:ascii="Bookman Old Style" w:hAnsi="Bookman Old Style"/>
          <w:sz w:val="22"/>
          <w:szCs w:val="22"/>
          <w:lang w:val="es-ES"/>
        </w:rPr>
      </w:pPr>
      <w:r w:rsidRPr="00B91E1C">
        <w:rPr>
          <w:rFonts w:ascii="Bookman Old Style" w:hAnsi="Bookman Old Style"/>
          <w:sz w:val="22"/>
          <w:szCs w:val="22"/>
          <w:lang w:val="es-ES"/>
        </w:rPr>
        <w:tab/>
        <w:t xml:space="preserve">La </w:t>
      </w:r>
      <w:r w:rsidR="00FD2710" w:rsidRPr="00B91E1C">
        <w:rPr>
          <w:rFonts w:ascii="Bookman Old Style" w:hAnsi="Bookman Old Style"/>
          <w:sz w:val="22"/>
          <w:szCs w:val="22"/>
          <w:lang w:val="es-ES"/>
        </w:rPr>
        <w:t>Sección Tercera</w:t>
      </w:r>
      <w:r w:rsidRPr="00B91E1C">
        <w:rPr>
          <w:rFonts w:ascii="Bookman Old Style" w:hAnsi="Bookman Old Style"/>
          <w:sz w:val="22"/>
          <w:szCs w:val="22"/>
          <w:lang w:val="es-ES"/>
        </w:rPr>
        <w:t xml:space="preserve"> </w:t>
      </w:r>
      <w:r w:rsidR="0009292E" w:rsidRPr="00B91E1C">
        <w:rPr>
          <w:rFonts w:ascii="Bookman Old Style" w:hAnsi="Bookman Old Style"/>
          <w:sz w:val="22"/>
          <w:szCs w:val="22"/>
          <w:lang w:val="es-ES"/>
        </w:rPr>
        <w:t>quiso</w:t>
      </w:r>
      <w:r w:rsidR="008843C6" w:rsidRPr="00B91E1C">
        <w:rPr>
          <w:rFonts w:ascii="Bookman Old Style" w:hAnsi="Bookman Old Style"/>
          <w:sz w:val="22"/>
          <w:szCs w:val="22"/>
          <w:lang w:val="es-ES"/>
        </w:rPr>
        <w:t xml:space="preserve"> unificar la jurisprudencia en torno a los temas involucrados en este proceso, concretamente la aplicación de la teoría del enriquecimiento sin causa y la </w:t>
      </w:r>
      <w:r w:rsidR="008843C6" w:rsidRPr="00B91E1C">
        <w:rPr>
          <w:rFonts w:ascii="Bookman Old Style" w:hAnsi="Bookman Old Style"/>
          <w:i/>
          <w:sz w:val="22"/>
          <w:szCs w:val="22"/>
          <w:lang w:val="es-ES"/>
        </w:rPr>
        <w:t>actio in rem verso</w:t>
      </w:r>
      <w:r w:rsidR="008843C6" w:rsidRPr="00B91E1C">
        <w:rPr>
          <w:rFonts w:ascii="Bookman Old Style" w:hAnsi="Bookman Old Style"/>
          <w:sz w:val="22"/>
          <w:szCs w:val="22"/>
          <w:lang w:val="es-ES"/>
        </w:rPr>
        <w:t xml:space="preserve">, teniendo en cuenta </w:t>
      </w:r>
      <w:r w:rsidR="0074637B" w:rsidRPr="00B91E1C">
        <w:rPr>
          <w:rFonts w:ascii="Bookman Old Style" w:hAnsi="Bookman Old Style"/>
          <w:sz w:val="22"/>
          <w:szCs w:val="22"/>
          <w:lang w:val="es-ES"/>
        </w:rPr>
        <w:t xml:space="preserve">que </w:t>
      </w:r>
      <w:r w:rsidR="008843C6" w:rsidRPr="00B91E1C">
        <w:rPr>
          <w:rFonts w:ascii="Bookman Old Style" w:hAnsi="Bookman Old Style"/>
          <w:sz w:val="22"/>
          <w:szCs w:val="22"/>
          <w:lang w:val="es-ES"/>
        </w:rPr>
        <w:t xml:space="preserve">en los últimos años había variado </w:t>
      </w:r>
      <w:r w:rsidR="00E46499" w:rsidRPr="00B91E1C">
        <w:rPr>
          <w:rFonts w:ascii="Bookman Old Style" w:hAnsi="Bookman Old Style"/>
          <w:sz w:val="22"/>
          <w:szCs w:val="22"/>
          <w:lang w:val="es-ES"/>
        </w:rPr>
        <w:t xml:space="preserve">vertiginosamente </w:t>
      </w:r>
      <w:r w:rsidR="008843C6" w:rsidRPr="00B91E1C">
        <w:rPr>
          <w:rFonts w:ascii="Bookman Old Style" w:hAnsi="Bookman Old Style"/>
          <w:sz w:val="22"/>
          <w:szCs w:val="22"/>
          <w:lang w:val="es-ES"/>
        </w:rPr>
        <w:t>su posición.</w:t>
      </w:r>
      <w:r w:rsidR="00E46499" w:rsidRPr="00B91E1C">
        <w:rPr>
          <w:rFonts w:ascii="Bookman Old Style" w:hAnsi="Bookman Old Style"/>
          <w:sz w:val="22"/>
          <w:szCs w:val="22"/>
          <w:lang w:val="es-ES"/>
        </w:rPr>
        <w:t xml:space="preserve"> C</w:t>
      </w:r>
      <w:r w:rsidR="00D87700" w:rsidRPr="00B91E1C">
        <w:rPr>
          <w:rFonts w:ascii="Bookman Old Style" w:hAnsi="Bookman Old Style"/>
          <w:sz w:val="22"/>
          <w:szCs w:val="22"/>
          <w:lang w:val="es-ES"/>
        </w:rPr>
        <w:t>oncluyó</w:t>
      </w:r>
      <w:r w:rsidR="00B13501" w:rsidRPr="00B91E1C">
        <w:rPr>
          <w:rFonts w:ascii="Bookman Old Style" w:hAnsi="Bookman Old Style"/>
          <w:sz w:val="22"/>
          <w:szCs w:val="22"/>
          <w:lang w:val="es-ES"/>
        </w:rPr>
        <w:t>,</w:t>
      </w:r>
      <w:r w:rsidR="0009292E" w:rsidRPr="00B91E1C">
        <w:rPr>
          <w:rFonts w:ascii="Bookman Old Style" w:hAnsi="Bookman Old Style"/>
          <w:sz w:val="22"/>
          <w:szCs w:val="22"/>
          <w:lang w:val="es-ES"/>
        </w:rPr>
        <w:t xml:space="preserve"> en la parte teórica de la providencia</w:t>
      </w:r>
      <w:r w:rsidR="00E46499" w:rsidRPr="00B91E1C">
        <w:rPr>
          <w:rFonts w:ascii="Bookman Old Style" w:hAnsi="Bookman Old Style"/>
          <w:sz w:val="22"/>
          <w:szCs w:val="22"/>
          <w:lang w:val="es-ES"/>
        </w:rPr>
        <w:t xml:space="preserve"> –</w:t>
      </w:r>
      <w:r w:rsidR="00372D30" w:rsidRPr="00B91E1C">
        <w:rPr>
          <w:rFonts w:ascii="Bookman Old Style" w:hAnsi="Bookman Old Style"/>
          <w:sz w:val="22"/>
          <w:szCs w:val="22"/>
          <w:lang w:val="es-ES"/>
        </w:rPr>
        <w:t>después de</w:t>
      </w:r>
      <w:r w:rsidR="0009292E" w:rsidRPr="00B91E1C">
        <w:rPr>
          <w:rFonts w:ascii="Bookman Old Style" w:hAnsi="Bookman Old Style"/>
          <w:sz w:val="22"/>
          <w:szCs w:val="22"/>
          <w:lang w:val="es-ES"/>
        </w:rPr>
        <w:t xml:space="preserve"> hacer</w:t>
      </w:r>
      <w:r w:rsidR="00372D30" w:rsidRPr="00B91E1C">
        <w:rPr>
          <w:rFonts w:ascii="Bookman Old Style" w:hAnsi="Bookman Old Style"/>
          <w:sz w:val="22"/>
          <w:szCs w:val="22"/>
          <w:lang w:val="es-ES"/>
        </w:rPr>
        <w:t xml:space="preserve"> un interesante recuento histórico sobre el origen de la </w:t>
      </w:r>
      <w:r w:rsidR="00372D30" w:rsidRPr="00B91E1C">
        <w:rPr>
          <w:rFonts w:ascii="Bookman Old Style" w:hAnsi="Bookman Old Style"/>
          <w:i/>
          <w:sz w:val="22"/>
          <w:szCs w:val="22"/>
          <w:lang w:val="es-ES"/>
        </w:rPr>
        <w:t>actio in rem verso</w:t>
      </w:r>
      <w:r w:rsidR="00E46499" w:rsidRPr="00B91E1C">
        <w:rPr>
          <w:rFonts w:ascii="Bookman Old Style" w:hAnsi="Bookman Old Style"/>
          <w:sz w:val="22"/>
          <w:szCs w:val="22"/>
          <w:lang w:val="es-ES"/>
        </w:rPr>
        <w:t xml:space="preserve">– </w:t>
      </w:r>
      <w:r w:rsidR="00372D30" w:rsidRPr="00B91E1C">
        <w:rPr>
          <w:rFonts w:ascii="Bookman Old Style" w:hAnsi="Bookman Old Style"/>
          <w:sz w:val="22"/>
          <w:szCs w:val="22"/>
          <w:lang w:val="es-ES"/>
        </w:rPr>
        <w:t>que se trata de una institución romana, que primero se aplicó</w:t>
      </w:r>
      <w:r w:rsidR="00D87700" w:rsidRPr="00B91E1C">
        <w:rPr>
          <w:rFonts w:ascii="Bookman Old Style" w:hAnsi="Bookman Old Style"/>
          <w:sz w:val="22"/>
          <w:szCs w:val="22"/>
          <w:lang w:val="es-ES"/>
        </w:rPr>
        <w:t xml:space="preserve"> </w:t>
      </w:r>
      <w:r w:rsidR="00372D30" w:rsidRPr="00B91E1C">
        <w:rPr>
          <w:rFonts w:ascii="Bookman Old Style" w:hAnsi="Bookman Old Style"/>
          <w:sz w:val="22"/>
          <w:szCs w:val="22"/>
          <w:lang w:val="es-ES"/>
        </w:rPr>
        <w:t>a unas</w:t>
      </w:r>
      <w:r w:rsidR="0009292E" w:rsidRPr="00B91E1C">
        <w:rPr>
          <w:rFonts w:ascii="Bookman Old Style" w:hAnsi="Bookman Old Style"/>
          <w:sz w:val="22"/>
          <w:szCs w:val="22"/>
          <w:lang w:val="es-ES"/>
        </w:rPr>
        <w:t xml:space="preserve"> pocas</w:t>
      </w:r>
      <w:r w:rsidR="00372D30" w:rsidRPr="00B91E1C">
        <w:rPr>
          <w:rFonts w:ascii="Bookman Old Style" w:hAnsi="Bookman Old Style"/>
          <w:sz w:val="22"/>
          <w:szCs w:val="22"/>
          <w:lang w:val="es-ES"/>
        </w:rPr>
        <w:t xml:space="preserve"> materias –</w:t>
      </w:r>
      <w:r w:rsidR="0009292E" w:rsidRPr="00B91E1C">
        <w:rPr>
          <w:rFonts w:ascii="Bookman Old Style" w:hAnsi="Bookman Old Style"/>
          <w:sz w:val="22"/>
          <w:szCs w:val="22"/>
          <w:lang w:val="es-ES"/>
        </w:rPr>
        <w:t xml:space="preserve">a las </w:t>
      </w:r>
      <w:r w:rsidR="00372D30" w:rsidRPr="00B91E1C">
        <w:rPr>
          <w:rFonts w:ascii="Bookman Old Style" w:hAnsi="Bookman Old Style"/>
          <w:sz w:val="22"/>
          <w:szCs w:val="22"/>
          <w:lang w:val="es-ES"/>
        </w:rPr>
        <w:t>donaciones entre marido y mujer–</w:t>
      </w:r>
      <w:r w:rsidR="0009292E" w:rsidRPr="00B91E1C">
        <w:rPr>
          <w:rFonts w:ascii="Bookman Old Style" w:hAnsi="Bookman Old Style"/>
          <w:sz w:val="22"/>
          <w:szCs w:val="22"/>
          <w:lang w:val="es-ES"/>
        </w:rPr>
        <w:t>,</w:t>
      </w:r>
      <w:r w:rsidR="00372D30" w:rsidRPr="00B91E1C">
        <w:rPr>
          <w:rFonts w:ascii="Bookman Old Style" w:hAnsi="Bookman Old Style"/>
          <w:sz w:val="22"/>
          <w:szCs w:val="22"/>
          <w:lang w:val="es-ES"/>
        </w:rPr>
        <w:t xml:space="preserve"> </w:t>
      </w:r>
      <w:r w:rsidR="00B13501" w:rsidRPr="00B91E1C">
        <w:rPr>
          <w:rFonts w:ascii="Bookman Old Style" w:hAnsi="Bookman Old Style"/>
          <w:sz w:val="22"/>
          <w:szCs w:val="22"/>
          <w:lang w:val="es-ES"/>
        </w:rPr>
        <w:lastRenderedPageBreak/>
        <w:t>y</w:t>
      </w:r>
      <w:r w:rsidR="0009292E" w:rsidRPr="00B91E1C">
        <w:rPr>
          <w:rFonts w:ascii="Bookman Old Style" w:hAnsi="Bookman Old Style"/>
          <w:sz w:val="22"/>
          <w:szCs w:val="22"/>
          <w:lang w:val="es-ES"/>
        </w:rPr>
        <w:t xml:space="preserve"> luego </w:t>
      </w:r>
      <w:r w:rsidR="00372D30" w:rsidRPr="00B91E1C">
        <w:rPr>
          <w:rFonts w:ascii="Bookman Old Style" w:hAnsi="Bookman Old Style"/>
          <w:sz w:val="22"/>
          <w:szCs w:val="22"/>
          <w:lang w:val="es-ES"/>
        </w:rPr>
        <w:t>se extendió a otras –</w:t>
      </w:r>
      <w:r w:rsidR="0009292E" w:rsidRPr="00B91E1C">
        <w:rPr>
          <w:rFonts w:ascii="Bookman Old Style" w:hAnsi="Bookman Old Style"/>
          <w:sz w:val="22"/>
          <w:szCs w:val="22"/>
          <w:lang w:val="es-ES"/>
        </w:rPr>
        <w:t xml:space="preserve">a los </w:t>
      </w:r>
      <w:r w:rsidR="00372D30" w:rsidRPr="00B91E1C">
        <w:rPr>
          <w:rFonts w:ascii="Bookman Old Style" w:hAnsi="Bookman Old Style"/>
          <w:sz w:val="22"/>
          <w:szCs w:val="22"/>
          <w:lang w:val="es-ES"/>
        </w:rPr>
        <w:t>negocios de los pupilos</w:t>
      </w:r>
      <w:r w:rsidR="00B13501" w:rsidRPr="00B91E1C">
        <w:rPr>
          <w:rFonts w:ascii="Bookman Old Style" w:hAnsi="Bookman Old Style"/>
          <w:sz w:val="22"/>
          <w:szCs w:val="22"/>
          <w:lang w:val="es-ES"/>
        </w:rPr>
        <w:t xml:space="preserve"> y otros temas</w:t>
      </w:r>
      <w:r w:rsidR="00372D30" w:rsidRPr="00B91E1C">
        <w:rPr>
          <w:rFonts w:ascii="Bookman Old Style" w:hAnsi="Bookman Old Style"/>
          <w:sz w:val="22"/>
          <w:szCs w:val="22"/>
          <w:lang w:val="es-ES"/>
        </w:rPr>
        <w:t xml:space="preserve">–, hasta llegar al derecho civil </w:t>
      </w:r>
      <w:r w:rsidR="00E8636D" w:rsidRPr="00B91E1C">
        <w:rPr>
          <w:rFonts w:ascii="Bookman Old Style" w:hAnsi="Bookman Old Style"/>
          <w:sz w:val="22"/>
          <w:szCs w:val="22"/>
          <w:lang w:val="es-ES"/>
        </w:rPr>
        <w:t xml:space="preserve">francés </w:t>
      </w:r>
      <w:r w:rsidR="00372D30" w:rsidRPr="00B91E1C">
        <w:rPr>
          <w:rFonts w:ascii="Bookman Old Style" w:hAnsi="Bookman Old Style"/>
          <w:sz w:val="22"/>
          <w:szCs w:val="22"/>
          <w:lang w:val="es-ES"/>
        </w:rPr>
        <w:t xml:space="preserve">moderno, que a su vez lo </w:t>
      </w:r>
      <w:r w:rsidR="0009292E" w:rsidRPr="00B91E1C">
        <w:rPr>
          <w:rFonts w:ascii="Bookman Old Style" w:hAnsi="Bookman Old Style"/>
          <w:sz w:val="22"/>
          <w:szCs w:val="22"/>
          <w:lang w:val="es-ES"/>
        </w:rPr>
        <w:t>amplificó</w:t>
      </w:r>
      <w:r w:rsidR="00372D30" w:rsidRPr="00B91E1C">
        <w:rPr>
          <w:rFonts w:ascii="Bookman Old Style" w:hAnsi="Bookman Old Style"/>
          <w:sz w:val="22"/>
          <w:szCs w:val="22"/>
          <w:lang w:val="es-ES"/>
        </w:rPr>
        <w:t xml:space="preserve"> a nuevos </w:t>
      </w:r>
      <w:r w:rsidR="00B13501" w:rsidRPr="00B91E1C">
        <w:rPr>
          <w:rFonts w:ascii="Bookman Old Style" w:hAnsi="Bookman Old Style"/>
          <w:sz w:val="22"/>
          <w:szCs w:val="22"/>
          <w:lang w:val="es-ES"/>
        </w:rPr>
        <w:t>asuntos</w:t>
      </w:r>
      <w:r w:rsidR="00372D30" w:rsidRPr="00B91E1C">
        <w:rPr>
          <w:rFonts w:ascii="Bookman Old Style" w:hAnsi="Bookman Old Style"/>
          <w:sz w:val="22"/>
          <w:szCs w:val="22"/>
          <w:lang w:val="es-ES"/>
        </w:rPr>
        <w:t>.</w:t>
      </w:r>
      <w:r w:rsidR="00E8636D" w:rsidRPr="00B91E1C">
        <w:rPr>
          <w:rFonts w:ascii="Bookman Old Style" w:hAnsi="Bookman Old Style"/>
          <w:sz w:val="22"/>
          <w:szCs w:val="22"/>
          <w:lang w:val="es-ES"/>
        </w:rPr>
        <w:t xml:space="preserve"> No </w:t>
      </w:r>
      <w:proofErr w:type="gramStart"/>
      <w:r w:rsidR="00E8636D" w:rsidRPr="00B91E1C">
        <w:rPr>
          <w:rFonts w:ascii="Bookman Old Style" w:hAnsi="Bookman Old Style"/>
          <w:sz w:val="22"/>
          <w:szCs w:val="22"/>
          <w:lang w:val="es-ES"/>
        </w:rPr>
        <w:t>obstante</w:t>
      </w:r>
      <w:proofErr w:type="gramEnd"/>
      <w:r w:rsidR="0009292E" w:rsidRPr="00B91E1C">
        <w:rPr>
          <w:rFonts w:ascii="Bookman Old Style" w:hAnsi="Bookman Old Style"/>
          <w:sz w:val="22"/>
          <w:szCs w:val="22"/>
          <w:lang w:val="es-ES"/>
        </w:rPr>
        <w:t xml:space="preserve"> l</w:t>
      </w:r>
      <w:r w:rsidR="00B13501" w:rsidRPr="00B91E1C">
        <w:rPr>
          <w:rFonts w:ascii="Bookman Old Style" w:hAnsi="Bookman Old Style"/>
          <w:sz w:val="22"/>
          <w:szCs w:val="22"/>
          <w:lang w:val="es-ES"/>
        </w:rPr>
        <w:t>a anterior relación histórica</w:t>
      </w:r>
      <w:r w:rsidR="00E8636D" w:rsidRPr="00B91E1C">
        <w:rPr>
          <w:rFonts w:ascii="Bookman Old Style" w:hAnsi="Bookman Old Style"/>
          <w:sz w:val="22"/>
          <w:szCs w:val="22"/>
          <w:lang w:val="es-ES"/>
        </w:rPr>
        <w:t>, la sentencia distingu</w:t>
      </w:r>
      <w:r w:rsidR="000B4AC3" w:rsidRPr="00B91E1C">
        <w:rPr>
          <w:rFonts w:ascii="Bookman Old Style" w:hAnsi="Bookman Old Style"/>
          <w:sz w:val="22"/>
          <w:szCs w:val="22"/>
          <w:lang w:val="es-ES"/>
        </w:rPr>
        <w:t>e</w:t>
      </w:r>
      <w:r w:rsidR="00E8636D" w:rsidRPr="00B91E1C">
        <w:rPr>
          <w:rFonts w:ascii="Bookman Old Style" w:hAnsi="Bookman Old Style"/>
          <w:sz w:val="22"/>
          <w:szCs w:val="22"/>
          <w:lang w:val="es-ES"/>
        </w:rPr>
        <w:t xml:space="preserve"> la </w:t>
      </w:r>
      <w:r w:rsidR="00E8636D" w:rsidRPr="00B91E1C">
        <w:rPr>
          <w:rFonts w:ascii="Bookman Old Style" w:hAnsi="Bookman Old Style"/>
          <w:i/>
          <w:sz w:val="22"/>
          <w:szCs w:val="22"/>
          <w:lang w:val="es-ES"/>
        </w:rPr>
        <w:t>actio in rem verso</w:t>
      </w:r>
      <w:r w:rsidR="00E8636D" w:rsidRPr="00B91E1C">
        <w:rPr>
          <w:rFonts w:ascii="Bookman Old Style" w:hAnsi="Bookman Old Style"/>
          <w:sz w:val="22"/>
          <w:szCs w:val="22"/>
          <w:lang w:val="es-ES"/>
        </w:rPr>
        <w:t xml:space="preserve"> romana de la francesa</w:t>
      </w:r>
      <w:r w:rsidR="000B4AC3" w:rsidRPr="00B91E1C">
        <w:rPr>
          <w:rFonts w:ascii="Bookman Old Style" w:hAnsi="Bookman Old Style"/>
          <w:sz w:val="22"/>
          <w:szCs w:val="22"/>
          <w:lang w:val="es-ES"/>
        </w:rPr>
        <w:t>, principalmente por la inexistencia, en esta, de un medio procesal específico para reclama</w:t>
      </w:r>
      <w:r w:rsidR="0009292E" w:rsidRPr="00B91E1C">
        <w:rPr>
          <w:rFonts w:ascii="Bookman Old Style" w:hAnsi="Bookman Old Style"/>
          <w:sz w:val="22"/>
          <w:szCs w:val="22"/>
          <w:lang w:val="es-ES"/>
        </w:rPr>
        <w:t>r el pago</w:t>
      </w:r>
      <w:r w:rsidR="000B4AC3" w:rsidRPr="00B91E1C">
        <w:rPr>
          <w:rFonts w:ascii="Bookman Old Style" w:hAnsi="Bookman Old Style"/>
          <w:sz w:val="22"/>
          <w:szCs w:val="22"/>
          <w:lang w:val="es-ES"/>
        </w:rPr>
        <w:t>, mientras que en aquella sí existía.</w:t>
      </w:r>
    </w:p>
    <w:p w:rsidR="000F7B9A" w:rsidRPr="00B91E1C" w:rsidRDefault="00B13501" w:rsidP="007E54E0">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t>La providencia a</w:t>
      </w:r>
      <w:r w:rsidR="000F7B9A" w:rsidRPr="00B91E1C">
        <w:rPr>
          <w:rFonts w:ascii="Bookman Old Style" w:hAnsi="Bookman Old Style"/>
          <w:sz w:val="22"/>
          <w:szCs w:val="22"/>
          <w:lang w:val="es-ES"/>
        </w:rPr>
        <w:t>gregó que</w:t>
      </w:r>
      <w:r w:rsidR="00AC0226" w:rsidRPr="00B91E1C">
        <w:rPr>
          <w:rFonts w:ascii="Bookman Old Style" w:hAnsi="Bookman Old Style"/>
          <w:sz w:val="22"/>
          <w:szCs w:val="22"/>
          <w:lang w:val="es-ES"/>
        </w:rPr>
        <w:t xml:space="preserve"> la</w:t>
      </w:r>
      <w:r w:rsidR="000F7B9A" w:rsidRPr="00B91E1C">
        <w:rPr>
          <w:rFonts w:ascii="Bookman Old Style" w:hAnsi="Bookman Old Style"/>
          <w:sz w:val="22"/>
          <w:szCs w:val="22"/>
          <w:lang w:val="es-ES"/>
        </w:rPr>
        <w:t xml:space="preserve"> </w:t>
      </w:r>
      <w:r w:rsidR="00AC0226" w:rsidRPr="00B91E1C">
        <w:rPr>
          <w:rFonts w:ascii="Bookman Old Style" w:hAnsi="Bookman Old Style"/>
          <w:sz w:val="22"/>
          <w:szCs w:val="22"/>
          <w:lang w:val="es-ES"/>
        </w:rPr>
        <w:t>Corte Suprema de Justicia de C</w:t>
      </w:r>
      <w:r w:rsidR="000F7B9A" w:rsidRPr="00B91E1C">
        <w:rPr>
          <w:rFonts w:ascii="Bookman Old Style" w:hAnsi="Bookman Old Style"/>
          <w:sz w:val="22"/>
          <w:szCs w:val="22"/>
          <w:lang w:val="es-ES"/>
        </w:rPr>
        <w:t xml:space="preserve">olombia acogió la institución, y dedujo los siguientes elementos: </w:t>
      </w:r>
      <w:r w:rsidR="002A0D46" w:rsidRPr="00B91E1C">
        <w:rPr>
          <w:rFonts w:ascii="Bookman Old Style" w:hAnsi="Bookman Old Style" w:cs="Arial"/>
          <w:bCs/>
          <w:sz w:val="22"/>
          <w:szCs w:val="22"/>
          <w:lang w:val="es-ES"/>
        </w:rPr>
        <w:t>i</w:t>
      </w:r>
      <w:r w:rsidR="000F7B9A" w:rsidRPr="00B91E1C">
        <w:rPr>
          <w:rFonts w:ascii="Bookman Old Style" w:hAnsi="Bookman Old Style" w:cs="Arial"/>
          <w:bCs/>
          <w:sz w:val="22"/>
          <w:szCs w:val="22"/>
          <w:lang w:val="es-ES"/>
        </w:rPr>
        <w:t xml:space="preserve">) un enriquecimiento; </w:t>
      </w:r>
      <w:r w:rsidR="002A0D46" w:rsidRPr="00B91E1C">
        <w:rPr>
          <w:rFonts w:ascii="Bookman Old Style" w:hAnsi="Bookman Old Style" w:cs="Arial"/>
          <w:bCs/>
          <w:sz w:val="22"/>
          <w:szCs w:val="22"/>
          <w:lang w:val="es-ES"/>
        </w:rPr>
        <w:t>ii</w:t>
      </w:r>
      <w:r w:rsidR="000F7B9A" w:rsidRPr="00B91E1C">
        <w:rPr>
          <w:rFonts w:ascii="Bookman Old Style" w:hAnsi="Bookman Old Style" w:cs="Arial"/>
          <w:bCs/>
          <w:sz w:val="22"/>
          <w:szCs w:val="22"/>
          <w:lang w:val="es-ES"/>
        </w:rPr>
        <w:t xml:space="preserve">) un empobrecimiento correlativo; </w:t>
      </w:r>
      <w:r w:rsidR="002A0D46" w:rsidRPr="00B91E1C">
        <w:rPr>
          <w:rFonts w:ascii="Bookman Old Style" w:hAnsi="Bookman Old Style" w:cs="Arial"/>
          <w:bCs/>
          <w:sz w:val="22"/>
          <w:szCs w:val="22"/>
          <w:lang w:val="es-ES"/>
        </w:rPr>
        <w:t>iii</w:t>
      </w:r>
      <w:r w:rsidR="000F7B9A" w:rsidRPr="00B91E1C">
        <w:rPr>
          <w:rFonts w:ascii="Bookman Old Style" w:hAnsi="Bookman Old Style" w:cs="Arial"/>
          <w:bCs/>
          <w:sz w:val="22"/>
          <w:szCs w:val="22"/>
          <w:lang w:val="es-ES"/>
        </w:rPr>
        <w:t>) la ausencia de causa que justifi</w:t>
      </w:r>
      <w:r w:rsidRPr="00B91E1C">
        <w:rPr>
          <w:rFonts w:ascii="Bookman Old Style" w:hAnsi="Bookman Old Style" w:cs="Arial"/>
          <w:bCs/>
          <w:sz w:val="22"/>
          <w:szCs w:val="22"/>
          <w:lang w:val="es-ES"/>
        </w:rPr>
        <w:t xml:space="preserve">que </w:t>
      </w:r>
      <w:r w:rsidR="000F7B9A" w:rsidRPr="00B91E1C">
        <w:rPr>
          <w:rFonts w:ascii="Bookman Old Style" w:hAnsi="Bookman Old Style" w:cs="Arial"/>
          <w:bCs/>
          <w:sz w:val="22"/>
          <w:szCs w:val="22"/>
          <w:lang w:val="es-ES"/>
        </w:rPr>
        <w:t>e</w:t>
      </w:r>
      <w:r w:rsidRPr="00B91E1C">
        <w:rPr>
          <w:rFonts w:ascii="Bookman Old Style" w:hAnsi="Bookman Old Style" w:cs="Arial"/>
          <w:bCs/>
          <w:sz w:val="22"/>
          <w:szCs w:val="22"/>
          <w:lang w:val="es-ES"/>
        </w:rPr>
        <w:t>l</w:t>
      </w:r>
      <w:r w:rsidR="000F7B9A" w:rsidRPr="00B91E1C">
        <w:rPr>
          <w:rFonts w:ascii="Bookman Old Style" w:hAnsi="Bookman Old Style" w:cs="Arial"/>
          <w:bCs/>
          <w:sz w:val="22"/>
          <w:szCs w:val="22"/>
          <w:lang w:val="es-ES"/>
        </w:rPr>
        <w:t xml:space="preserve"> desequilibrio patrimonial; y </w:t>
      </w:r>
      <w:r w:rsidR="002A0D46" w:rsidRPr="00B91E1C">
        <w:rPr>
          <w:rFonts w:ascii="Bookman Old Style" w:hAnsi="Bookman Old Style" w:cs="Arial"/>
          <w:bCs/>
          <w:sz w:val="22"/>
          <w:szCs w:val="22"/>
          <w:lang w:val="es-ES"/>
        </w:rPr>
        <w:t>iv</w:t>
      </w:r>
      <w:r w:rsidR="000F7B9A" w:rsidRPr="00B91E1C">
        <w:rPr>
          <w:rFonts w:ascii="Bookman Old Style" w:hAnsi="Bookman Old Style" w:cs="Arial"/>
          <w:bCs/>
          <w:sz w:val="22"/>
          <w:szCs w:val="22"/>
          <w:lang w:val="es-ES"/>
        </w:rPr>
        <w:t>) la carencia de otra acción que permitiera la restitución. No obstante</w:t>
      </w:r>
      <w:r w:rsidRPr="00B91E1C">
        <w:rPr>
          <w:rFonts w:ascii="Bookman Old Style" w:hAnsi="Bookman Old Style" w:cs="Arial"/>
          <w:bCs/>
          <w:sz w:val="22"/>
          <w:szCs w:val="22"/>
          <w:lang w:val="es-ES"/>
        </w:rPr>
        <w:t>,</w:t>
      </w:r>
      <w:r w:rsidR="000F7B9A" w:rsidRPr="00B91E1C">
        <w:rPr>
          <w:rFonts w:ascii="Bookman Old Style" w:hAnsi="Bookman Old Style" w:cs="Arial"/>
          <w:bCs/>
          <w:sz w:val="22"/>
          <w:szCs w:val="22"/>
          <w:lang w:val="es-ES"/>
        </w:rPr>
        <w:t xml:space="preserve"> añadió otro: </w:t>
      </w:r>
      <w:r w:rsidR="002A0D46" w:rsidRPr="00B91E1C">
        <w:rPr>
          <w:rFonts w:ascii="Bookman Old Style" w:hAnsi="Bookman Old Style" w:cs="Arial"/>
          <w:bCs/>
          <w:sz w:val="22"/>
          <w:szCs w:val="22"/>
          <w:lang w:val="es-ES"/>
        </w:rPr>
        <w:t>v</w:t>
      </w:r>
      <w:r w:rsidR="000F7B9A" w:rsidRPr="00B91E1C">
        <w:rPr>
          <w:rFonts w:ascii="Bookman Old Style" w:hAnsi="Bookman Old Style" w:cs="Arial"/>
          <w:bCs/>
          <w:sz w:val="22"/>
          <w:szCs w:val="22"/>
          <w:lang w:val="es-ES"/>
        </w:rPr>
        <w:t>) que no se eludan normas imperativas, requisito apoyado en el principio de legalidad.</w:t>
      </w:r>
    </w:p>
    <w:p w:rsidR="00FB619F" w:rsidRPr="00B91E1C" w:rsidRDefault="00415D7C" w:rsidP="007E54E0">
      <w:pPr>
        <w:spacing w:line="276" w:lineRule="auto"/>
        <w:jc w:val="both"/>
        <w:rPr>
          <w:rFonts w:ascii="Bookman Old Style" w:hAnsi="Bookman Old Style" w:cs="Arial"/>
          <w:bCs/>
          <w:sz w:val="22"/>
          <w:szCs w:val="22"/>
          <w:lang w:val="es-ES"/>
        </w:rPr>
      </w:pPr>
      <w:r w:rsidRPr="00B91E1C">
        <w:rPr>
          <w:rFonts w:ascii="Bookman Old Style" w:hAnsi="Bookman Old Style" w:cs="Arial"/>
          <w:bCs/>
          <w:sz w:val="22"/>
          <w:szCs w:val="22"/>
          <w:lang w:val="es-ES"/>
        </w:rPr>
        <w:tab/>
        <w:t xml:space="preserve">Definido lo anterior, la </w:t>
      </w:r>
      <w:r w:rsidR="004C2386" w:rsidRPr="00B91E1C">
        <w:rPr>
          <w:rFonts w:ascii="Bookman Old Style" w:hAnsi="Bookman Old Style" w:cs="Arial"/>
          <w:bCs/>
          <w:sz w:val="22"/>
          <w:szCs w:val="22"/>
          <w:lang w:val="es-ES"/>
        </w:rPr>
        <w:t xml:space="preserve">sentencia </w:t>
      </w:r>
      <w:r w:rsidR="00FB619F" w:rsidRPr="00B91E1C">
        <w:rPr>
          <w:rFonts w:ascii="Bookman Old Style" w:hAnsi="Bookman Old Style" w:cs="Arial"/>
          <w:bCs/>
          <w:sz w:val="22"/>
          <w:szCs w:val="22"/>
          <w:lang w:val="es-ES"/>
        </w:rPr>
        <w:t xml:space="preserve">identificó </w:t>
      </w:r>
      <w:r w:rsidRPr="00B91E1C">
        <w:rPr>
          <w:rFonts w:ascii="Bookman Old Style" w:hAnsi="Bookman Old Style" w:cs="Arial"/>
          <w:bCs/>
          <w:sz w:val="22"/>
          <w:szCs w:val="22"/>
          <w:lang w:val="es-ES"/>
        </w:rPr>
        <w:t>las posturas que han existido, y se det</w:t>
      </w:r>
      <w:r w:rsidR="00FB619F" w:rsidRPr="00B91E1C">
        <w:rPr>
          <w:rFonts w:ascii="Bookman Old Style" w:hAnsi="Bookman Old Style" w:cs="Arial"/>
          <w:bCs/>
          <w:sz w:val="22"/>
          <w:szCs w:val="22"/>
          <w:lang w:val="es-ES"/>
        </w:rPr>
        <w:t xml:space="preserve">uvo </w:t>
      </w:r>
      <w:r w:rsidRPr="00B91E1C">
        <w:rPr>
          <w:rFonts w:ascii="Bookman Old Style" w:hAnsi="Bookman Old Style" w:cs="Arial"/>
          <w:bCs/>
          <w:sz w:val="22"/>
          <w:szCs w:val="22"/>
          <w:lang w:val="es-ES"/>
        </w:rPr>
        <w:t xml:space="preserve">a </w:t>
      </w:r>
      <w:r w:rsidR="00CB7AC9" w:rsidRPr="00B91E1C">
        <w:rPr>
          <w:rFonts w:ascii="Bookman Old Style" w:hAnsi="Bookman Old Style" w:cs="Arial"/>
          <w:bCs/>
          <w:sz w:val="22"/>
          <w:szCs w:val="22"/>
          <w:lang w:val="es-ES"/>
        </w:rPr>
        <w:t>examinar</w:t>
      </w:r>
      <w:r w:rsidRPr="00B91E1C">
        <w:rPr>
          <w:rFonts w:ascii="Bookman Old Style" w:hAnsi="Bookman Old Style" w:cs="Arial"/>
          <w:bCs/>
          <w:sz w:val="22"/>
          <w:szCs w:val="22"/>
          <w:lang w:val="es-ES"/>
        </w:rPr>
        <w:t xml:space="preserve"> si la pretensión económica que busca resarcir el daño</w:t>
      </w:r>
      <w:r w:rsidR="00FB619F" w:rsidRPr="00B91E1C">
        <w:rPr>
          <w:rFonts w:ascii="Bookman Old Style" w:hAnsi="Bookman Old Style" w:cs="Arial"/>
          <w:bCs/>
          <w:sz w:val="22"/>
          <w:szCs w:val="22"/>
          <w:lang w:val="es-ES"/>
        </w:rPr>
        <w:t>,</w:t>
      </w:r>
      <w:r w:rsidRPr="00B91E1C">
        <w:rPr>
          <w:rFonts w:ascii="Bookman Old Style" w:hAnsi="Bookman Old Style" w:cs="Arial"/>
          <w:bCs/>
          <w:sz w:val="22"/>
          <w:szCs w:val="22"/>
          <w:lang w:val="es-ES"/>
        </w:rPr>
        <w:t xml:space="preserve"> cuando se produce un enriquecimiento sin causa</w:t>
      </w:r>
      <w:r w:rsidR="00FB619F" w:rsidRPr="00B91E1C">
        <w:rPr>
          <w:rFonts w:ascii="Bookman Old Style" w:hAnsi="Bookman Old Style" w:cs="Arial"/>
          <w:bCs/>
          <w:sz w:val="22"/>
          <w:szCs w:val="22"/>
          <w:lang w:val="es-ES"/>
        </w:rPr>
        <w:t>,</w:t>
      </w:r>
      <w:r w:rsidRPr="00B91E1C">
        <w:rPr>
          <w:rFonts w:ascii="Bookman Old Style" w:hAnsi="Bookman Old Style" w:cs="Arial"/>
          <w:bCs/>
          <w:sz w:val="22"/>
          <w:szCs w:val="22"/>
          <w:lang w:val="es-ES"/>
        </w:rPr>
        <w:t xml:space="preserve"> se debe tramitar como una </w:t>
      </w:r>
      <w:r w:rsidRPr="00B91E1C">
        <w:rPr>
          <w:rFonts w:ascii="Bookman Old Style" w:hAnsi="Bookman Old Style" w:cs="Arial"/>
          <w:bCs/>
          <w:i/>
          <w:sz w:val="22"/>
          <w:szCs w:val="22"/>
          <w:lang w:val="es-ES"/>
        </w:rPr>
        <w:t xml:space="preserve">acción </w:t>
      </w:r>
      <w:r w:rsidR="00CB7AC9" w:rsidRPr="00B91E1C">
        <w:rPr>
          <w:rFonts w:ascii="Bookman Old Style" w:hAnsi="Bookman Old Style" w:cs="Arial"/>
          <w:bCs/>
          <w:i/>
          <w:sz w:val="22"/>
          <w:szCs w:val="22"/>
          <w:lang w:val="es-ES"/>
        </w:rPr>
        <w:t xml:space="preserve">de </w:t>
      </w:r>
      <w:r w:rsidRPr="00B91E1C">
        <w:rPr>
          <w:rFonts w:ascii="Bookman Old Style" w:hAnsi="Bookman Old Style" w:cs="Arial"/>
          <w:bCs/>
          <w:i/>
          <w:sz w:val="22"/>
          <w:szCs w:val="22"/>
          <w:lang w:val="es-ES"/>
        </w:rPr>
        <w:t>reparación directa</w:t>
      </w:r>
      <w:r w:rsidRPr="00B91E1C">
        <w:rPr>
          <w:rFonts w:ascii="Bookman Old Style" w:hAnsi="Bookman Old Style" w:cs="Arial"/>
          <w:bCs/>
          <w:sz w:val="22"/>
          <w:szCs w:val="22"/>
          <w:lang w:val="es-ES"/>
        </w:rPr>
        <w:t xml:space="preserve"> o como un</w:t>
      </w:r>
      <w:r w:rsidR="0037301A" w:rsidRPr="00B91E1C">
        <w:rPr>
          <w:rFonts w:ascii="Bookman Old Style" w:hAnsi="Bookman Old Style" w:cs="Arial"/>
          <w:bCs/>
          <w:sz w:val="22"/>
          <w:szCs w:val="22"/>
          <w:lang w:val="es-ES"/>
        </w:rPr>
        <w:t>a</w:t>
      </w:r>
      <w:r w:rsidRPr="00B91E1C">
        <w:rPr>
          <w:rFonts w:ascii="Bookman Old Style" w:hAnsi="Bookman Old Style" w:cs="Arial"/>
          <w:bCs/>
          <w:sz w:val="22"/>
          <w:szCs w:val="22"/>
          <w:lang w:val="es-ES"/>
        </w:rPr>
        <w:t xml:space="preserve"> </w:t>
      </w:r>
      <w:r w:rsidRPr="00B91E1C">
        <w:rPr>
          <w:rFonts w:ascii="Bookman Old Style" w:hAnsi="Bookman Old Style" w:cs="Arial"/>
          <w:bCs/>
          <w:i/>
          <w:sz w:val="22"/>
          <w:szCs w:val="22"/>
          <w:lang w:val="es-ES"/>
        </w:rPr>
        <w:t>actio in rem verso</w:t>
      </w:r>
      <w:r w:rsidRPr="00B91E1C">
        <w:rPr>
          <w:rFonts w:ascii="Bookman Old Style" w:hAnsi="Bookman Old Style" w:cs="Arial"/>
          <w:bCs/>
          <w:sz w:val="22"/>
          <w:szCs w:val="22"/>
          <w:lang w:val="es-ES"/>
        </w:rPr>
        <w:t xml:space="preserve">. </w:t>
      </w:r>
    </w:p>
    <w:p w:rsidR="00EA29EB" w:rsidRPr="00B91E1C" w:rsidRDefault="005D21AB" w:rsidP="00FB619F">
      <w:pPr>
        <w:spacing w:line="276" w:lineRule="auto"/>
        <w:ind w:firstLine="708"/>
        <w:jc w:val="both"/>
        <w:rPr>
          <w:rFonts w:ascii="Bookman Old Style" w:hAnsi="Bookman Old Style" w:cs="Arial"/>
          <w:bCs/>
          <w:sz w:val="22"/>
          <w:szCs w:val="22"/>
          <w:lang w:val="es-ES"/>
        </w:rPr>
      </w:pPr>
      <w:r w:rsidRPr="00B91E1C">
        <w:rPr>
          <w:rFonts w:ascii="Bookman Old Style" w:hAnsi="Bookman Old Style" w:cs="Arial"/>
          <w:bCs/>
          <w:sz w:val="22"/>
          <w:szCs w:val="22"/>
          <w:lang w:val="es-ES"/>
        </w:rPr>
        <w:t xml:space="preserve">Apelando a la </w:t>
      </w:r>
      <w:r w:rsidR="00F63395" w:rsidRPr="00B91E1C">
        <w:rPr>
          <w:rFonts w:ascii="Bookman Old Style" w:hAnsi="Bookman Old Style" w:cs="Arial"/>
          <w:bCs/>
          <w:sz w:val="22"/>
          <w:szCs w:val="22"/>
          <w:lang w:val="es-ES"/>
        </w:rPr>
        <w:t xml:space="preserve">historia, </w:t>
      </w:r>
      <w:r w:rsidR="0037301A" w:rsidRPr="00B91E1C">
        <w:rPr>
          <w:rFonts w:ascii="Bookman Old Style" w:hAnsi="Bookman Old Style" w:cs="Arial"/>
          <w:bCs/>
          <w:sz w:val="22"/>
          <w:szCs w:val="22"/>
          <w:lang w:val="es-ES"/>
        </w:rPr>
        <w:t xml:space="preserve">se </w:t>
      </w:r>
      <w:r w:rsidR="00F63395" w:rsidRPr="00B91E1C">
        <w:rPr>
          <w:rFonts w:ascii="Bookman Old Style" w:hAnsi="Bookman Old Style" w:cs="Arial"/>
          <w:bCs/>
          <w:sz w:val="22"/>
          <w:szCs w:val="22"/>
          <w:lang w:val="es-ES"/>
        </w:rPr>
        <w:t xml:space="preserve">recuerda que la Sección Tercera se ha </w:t>
      </w:r>
      <w:r w:rsidR="00B259E5" w:rsidRPr="00B91E1C">
        <w:rPr>
          <w:rFonts w:ascii="Bookman Old Style" w:hAnsi="Bookman Old Style" w:cs="Arial"/>
          <w:bCs/>
          <w:sz w:val="22"/>
          <w:szCs w:val="22"/>
          <w:lang w:val="es-ES"/>
        </w:rPr>
        <w:t xml:space="preserve">decantado por </w:t>
      </w:r>
      <w:r w:rsidR="006440EE">
        <w:rPr>
          <w:rFonts w:ascii="Bookman Old Style" w:hAnsi="Bookman Old Style" w:cs="Arial"/>
          <w:bCs/>
          <w:sz w:val="22"/>
          <w:szCs w:val="22"/>
          <w:lang w:val="es-ES"/>
        </w:rPr>
        <w:t>medio de control de</w:t>
      </w:r>
      <w:r w:rsidR="00B259E5" w:rsidRPr="00B91E1C">
        <w:rPr>
          <w:rFonts w:ascii="Bookman Old Style" w:hAnsi="Bookman Old Style" w:cs="Arial"/>
          <w:bCs/>
          <w:sz w:val="22"/>
          <w:szCs w:val="22"/>
          <w:lang w:val="es-ES"/>
        </w:rPr>
        <w:t xml:space="preserve"> reparación directa como mecanismo para </w:t>
      </w:r>
      <w:r w:rsidR="00FB619F" w:rsidRPr="00B91E1C">
        <w:rPr>
          <w:rFonts w:ascii="Bookman Old Style" w:hAnsi="Bookman Old Style" w:cs="Arial"/>
          <w:bCs/>
          <w:sz w:val="22"/>
          <w:szCs w:val="22"/>
          <w:lang w:val="es-ES"/>
        </w:rPr>
        <w:t>reclamar</w:t>
      </w:r>
      <w:r w:rsidR="00B259E5" w:rsidRPr="00B91E1C">
        <w:rPr>
          <w:rFonts w:ascii="Bookman Old Style" w:hAnsi="Bookman Old Style" w:cs="Arial"/>
          <w:bCs/>
          <w:sz w:val="22"/>
          <w:szCs w:val="22"/>
          <w:lang w:val="es-ES"/>
        </w:rPr>
        <w:t xml:space="preserve"> el pago, teniendo en cuenta que la ejecución de trabajos sin contrato es un </w:t>
      </w:r>
      <w:r w:rsidR="00C9271F" w:rsidRPr="00B91E1C">
        <w:rPr>
          <w:rFonts w:ascii="Bookman Old Style" w:hAnsi="Bookman Old Style" w:cs="Tahoma"/>
          <w:sz w:val="22"/>
          <w:szCs w:val="22"/>
          <w:lang w:val="es-ES"/>
        </w:rPr>
        <w:t>«</w:t>
      </w:r>
      <w:r w:rsidR="00B259E5" w:rsidRPr="00B91E1C">
        <w:rPr>
          <w:rFonts w:ascii="Bookman Old Style" w:hAnsi="Bookman Old Style" w:cs="Arial"/>
          <w:bCs/>
          <w:sz w:val="22"/>
          <w:szCs w:val="22"/>
          <w:lang w:val="es-ES"/>
        </w:rPr>
        <w:t>hecho</w:t>
      </w:r>
      <w:r w:rsidR="00C9271F" w:rsidRPr="00B91E1C">
        <w:rPr>
          <w:rFonts w:ascii="Bookman Old Style" w:hAnsi="Bookman Old Style" w:cs="Tahoma"/>
          <w:sz w:val="22"/>
          <w:szCs w:val="22"/>
          <w:lang w:val="es-ES"/>
        </w:rPr>
        <w:t>»</w:t>
      </w:r>
      <w:r w:rsidR="00B259E5" w:rsidRPr="00B91E1C">
        <w:rPr>
          <w:rFonts w:ascii="Bookman Old Style" w:hAnsi="Bookman Old Style" w:cs="Arial"/>
          <w:bCs/>
          <w:sz w:val="22"/>
          <w:szCs w:val="22"/>
          <w:lang w:val="es-ES"/>
        </w:rPr>
        <w:t xml:space="preserve">. No obstante, explica </w:t>
      </w:r>
      <w:r w:rsidR="00581579" w:rsidRPr="00B91E1C">
        <w:rPr>
          <w:rFonts w:ascii="Bookman Old Style" w:hAnsi="Bookman Old Style" w:cs="Arial"/>
          <w:bCs/>
          <w:sz w:val="22"/>
          <w:szCs w:val="22"/>
          <w:lang w:val="es-ES"/>
        </w:rPr>
        <w:t xml:space="preserve">–apoyado en dos sentencias– </w:t>
      </w:r>
      <w:r w:rsidR="00B259E5" w:rsidRPr="00B91E1C">
        <w:rPr>
          <w:rFonts w:ascii="Bookman Old Style" w:hAnsi="Bookman Old Style" w:cs="Arial"/>
          <w:bCs/>
          <w:sz w:val="22"/>
          <w:szCs w:val="22"/>
          <w:lang w:val="es-ES"/>
        </w:rPr>
        <w:t xml:space="preserve">que en el 2009 </w:t>
      </w:r>
      <w:r w:rsidR="00581579" w:rsidRPr="00B91E1C">
        <w:rPr>
          <w:rFonts w:ascii="Bookman Old Style" w:hAnsi="Bookman Old Style" w:cs="Arial"/>
          <w:bCs/>
          <w:sz w:val="22"/>
          <w:szCs w:val="22"/>
          <w:lang w:val="es-ES"/>
        </w:rPr>
        <w:t xml:space="preserve">la Sección </w:t>
      </w:r>
      <w:r w:rsidR="00B259E5" w:rsidRPr="00B91E1C">
        <w:rPr>
          <w:rFonts w:ascii="Bookman Old Style" w:hAnsi="Bookman Old Style" w:cs="Arial"/>
          <w:bCs/>
          <w:sz w:val="22"/>
          <w:szCs w:val="22"/>
          <w:lang w:val="es-ES"/>
        </w:rPr>
        <w:t xml:space="preserve">cambió </w:t>
      </w:r>
      <w:r w:rsidR="0037301A" w:rsidRPr="00B91E1C">
        <w:rPr>
          <w:rFonts w:ascii="Bookman Old Style" w:hAnsi="Bookman Old Style" w:cs="Arial"/>
          <w:bCs/>
          <w:sz w:val="22"/>
          <w:szCs w:val="22"/>
          <w:lang w:val="es-ES"/>
        </w:rPr>
        <w:t>l</w:t>
      </w:r>
      <w:r w:rsidR="00B13501" w:rsidRPr="00B91E1C">
        <w:rPr>
          <w:rFonts w:ascii="Bookman Old Style" w:hAnsi="Bookman Old Style" w:cs="Arial"/>
          <w:bCs/>
          <w:sz w:val="22"/>
          <w:szCs w:val="22"/>
          <w:lang w:val="es-ES"/>
        </w:rPr>
        <w:t>a</w:t>
      </w:r>
      <w:r w:rsidR="00B259E5" w:rsidRPr="00B91E1C">
        <w:rPr>
          <w:rFonts w:ascii="Bookman Old Style" w:hAnsi="Bookman Old Style" w:cs="Arial"/>
          <w:bCs/>
          <w:sz w:val="22"/>
          <w:szCs w:val="22"/>
          <w:lang w:val="es-ES"/>
        </w:rPr>
        <w:t xml:space="preserve"> tesis, y consideró que </w:t>
      </w:r>
      <w:r w:rsidR="00581579" w:rsidRPr="00B91E1C">
        <w:rPr>
          <w:rFonts w:ascii="Bookman Old Style" w:hAnsi="Bookman Old Style" w:cs="Arial"/>
          <w:bCs/>
          <w:sz w:val="22"/>
          <w:szCs w:val="22"/>
          <w:lang w:val="es-ES"/>
        </w:rPr>
        <w:t xml:space="preserve">se trataba de una acción independiente, </w:t>
      </w:r>
      <w:r w:rsidR="00B13501" w:rsidRPr="00B91E1C">
        <w:rPr>
          <w:rFonts w:ascii="Bookman Old Style" w:hAnsi="Bookman Old Style" w:cs="Arial"/>
          <w:bCs/>
          <w:sz w:val="22"/>
          <w:szCs w:val="22"/>
          <w:lang w:val="es-ES"/>
        </w:rPr>
        <w:t xml:space="preserve">autónoma, </w:t>
      </w:r>
      <w:r w:rsidR="00581579" w:rsidRPr="00B91E1C">
        <w:rPr>
          <w:rFonts w:ascii="Bookman Old Style" w:hAnsi="Bookman Old Style" w:cs="Arial"/>
          <w:bCs/>
          <w:sz w:val="22"/>
          <w:szCs w:val="22"/>
          <w:lang w:val="es-ES"/>
        </w:rPr>
        <w:t xml:space="preserve">que se utiliza cuando no existe acción procedente, de manera que es la que se debe ejercer, en lugar de la reparación directa, que </w:t>
      </w:r>
      <w:r w:rsidR="00FB619F" w:rsidRPr="00B91E1C">
        <w:rPr>
          <w:rFonts w:ascii="Bookman Old Style" w:hAnsi="Bookman Old Style" w:cs="Arial"/>
          <w:bCs/>
          <w:sz w:val="22"/>
          <w:szCs w:val="22"/>
          <w:lang w:val="es-ES"/>
        </w:rPr>
        <w:t xml:space="preserve">solo </w:t>
      </w:r>
      <w:r w:rsidR="00581579" w:rsidRPr="00B91E1C">
        <w:rPr>
          <w:rFonts w:ascii="Bookman Old Style" w:hAnsi="Bookman Old Style" w:cs="Arial"/>
          <w:bCs/>
          <w:sz w:val="22"/>
          <w:szCs w:val="22"/>
          <w:lang w:val="es-ES"/>
        </w:rPr>
        <w:t xml:space="preserve">busca fines </w:t>
      </w:r>
      <w:r w:rsidR="00581579" w:rsidRPr="00B91E1C">
        <w:rPr>
          <w:rFonts w:ascii="Bookman Old Style" w:hAnsi="Bookman Old Style" w:cs="Arial"/>
          <w:bCs/>
          <w:i/>
          <w:sz w:val="22"/>
          <w:szCs w:val="22"/>
          <w:lang w:val="es-ES"/>
        </w:rPr>
        <w:t>indemnizatorios</w:t>
      </w:r>
      <w:r w:rsidR="00581579" w:rsidRPr="00B91E1C">
        <w:rPr>
          <w:rFonts w:ascii="Bookman Old Style" w:hAnsi="Bookman Old Style" w:cs="Arial"/>
          <w:bCs/>
          <w:sz w:val="22"/>
          <w:szCs w:val="22"/>
          <w:lang w:val="es-ES"/>
        </w:rPr>
        <w:t xml:space="preserve">, y como la </w:t>
      </w:r>
      <w:r w:rsidR="00581579" w:rsidRPr="00B91E1C">
        <w:rPr>
          <w:rFonts w:ascii="Bookman Old Style" w:hAnsi="Bookman Old Style" w:cs="Arial"/>
          <w:bCs/>
          <w:i/>
          <w:sz w:val="22"/>
          <w:szCs w:val="22"/>
          <w:lang w:val="es-ES"/>
        </w:rPr>
        <w:t>actio in rem verso</w:t>
      </w:r>
      <w:r w:rsidR="00581579" w:rsidRPr="00B91E1C">
        <w:rPr>
          <w:rFonts w:ascii="Bookman Old Style" w:hAnsi="Bookman Old Style" w:cs="Arial"/>
          <w:bCs/>
          <w:sz w:val="22"/>
          <w:szCs w:val="22"/>
          <w:lang w:val="es-ES"/>
        </w:rPr>
        <w:t xml:space="preserve"> solo es </w:t>
      </w:r>
      <w:r w:rsidR="00581579" w:rsidRPr="00B91E1C">
        <w:rPr>
          <w:rFonts w:ascii="Bookman Old Style" w:hAnsi="Bookman Old Style" w:cs="Arial"/>
          <w:bCs/>
          <w:i/>
          <w:sz w:val="22"/>
          <w:szCs w:val="22"/>
          <w:lang w:val="es-ES"/>
        </w:rPr>
        <w:t>compensatoria</w:t>
      </w:r>
      <w:r w:rsidR="00581579" w:rsidRPr="00B91E1C">
        <w:rPr>
          <w:rFonts w:ascii="Bookman Old Style" w:hAnsi="Bookman Old Style" w:cs="Arial"/>
          <w:bCs/>
          <w:sz w:val="22"/>
          <w:szCs w:val="22"/>
          <w:lang w:val="es-ES"/>
        </w:rPr>
        <w:t xml:space="preserve"> no se puede ejercer con esa finalidad.</w:t>
      </w:r>
      <w:r w:rsidR="00EA29EB" w:rsidRPr="00B91E1C">
        <w:rPr>
          <w:rFonts w:ascii="Bookman Old Style" w:hAnsi="Bookman Old Style" w:cs="Arial"/>
          <w:bCs/>
          <w:sz w:val="22"/>
          <w:szCs w:val="22"/>
          <w:lang w:val="es-ES"/>
        </w:rPr>
        <w:t xml:space="preserve"> </w:t>
      </w:r>
      <w:r w:rsidR="00FB619F" w:rsidRPr="00B91E1C">
        <w:rPr>
          <w:rFonts w:ascii="Bookman Old Style" w:hAnsi="Bookman Old Style" w:cs="Arial"/>
          <w:bCs/>
          <w:sz w:val="22"/>
          <w:szCs w:val="22"/>
          <w:lang w:val="es-ES"/>
        </w:rPr>
        <w:t>L</w:t>
      </w:r>
      <w:r w:rsidR="001F1E5B" w:rsidRPr="00B91E1C">
        <w:rPr>
          <w:rFonts w:ascii="Bookman Old Style" w:hAnsi="Bookman Old Style" w:cs="Arial"/>
          <w:bCs/>
          <w:sz w:val="22"/>
          <w:szCs w:val="22"/>
          <w:lang w:val="es-ES"/>
        </w:rPr>
        <w:t>a Sala concluy</w:t>
      </w:r>
      <w:r w:rsidR="00B13501" w:rsidRPr="00B91E1C">
        <w:rPr>
          <w:rFonts w:ascii="Bookman Old Style" w:hAnsi="Bookman Old Style" w:cs="Arial"/>
          <w:bCs/>
          <w:sz w:val="22"/>
          <w:szCs w:val="22"/>
          <w:lang w:val="es-ES"/>
        </w:rPr>
        <w:t>ó</w:t>
      </w:r>
      <w:r w:rsidR="00FB619F" w:rsidRPr="00B91E1C">
        <w:rPr>
          <w:rFonts w:ascii="Bookman Old Style" w:hAnsi="Bookman Old Style" w:cs="Arial"/>
          <w:bCs/>
          <w:sz w:val="22"/>
          <w:szCs w:val="22"/>
          <w:lang w:val="es-ES"/>
        </w:rPr>
        <w:t>,</w:t>
      </w:r>
      <w:r w:rsidR="001F1E5B" w:rsidRPr="00B91E1C">
        <w:rPr>
          <w:rFonts w:ascii="Bookman Old Style" w:hAnsi="Bookman Old Style" w:cs="Arial"/>
          <w:bCs/>
          <w:sz w:val="22"/>
          <w:szCs w:val="22"/>
          <w:lang w:val="es-ES"/>
        </w:rPr>
        <w:t xml:space="preserve"> y unific</w:t>
      </w:r>
      <w:r w:rsidR="00B13501" w:rsidRPr="00B91E1C">
        <w:rPr>
          <w:rFonts w:ascii="Bookman Old Style" w:hAnsi="Bookman Old Style" w:cs="Arial"/>
          <w:bCs/>
          <w:sz w:val="22"/>
          <w:szCs w:val="22"/>
          <w:lang w:val="es-ES"/>
        </w:rPr>
        <w:t>ó</w:t>
      </w:r>
      <w:r w:rsidR="00FB619F" w:rsidRPr="00B91E1C">
        <w:rPr>
          <w:rFonts w:ascii="Bookman Old Style" w:hAnsi="Bookman Old Style" w:cs="Arial"/>
          <w:bCs/>
          <w:sz w:val="22"/>
          <w:szCs w:val="22"/>
          <w:lang w:val="es-ES"/>
        </w:rPr>
        <w:t>,</w:t>
      </w:r>
      <w:r w:rsidR="001F1E5B" w:rsidRPr="00B91E1C">
        <w:rPr>
          <w:rFonts w:ascii="Bookman Old Style" w:hAnsi="Bookman Old Style" w:cs="Arial"/>
          <w:bCs/>
          <w:sz w:val="22"/>
          <w:szCs w:val="22"/>
          <w:lang w:val="es-ES"/>
        </w:rPr>
        <w:t xml:space="preserve"> que</w:t>
      </w:r>
      <w:r w:rsidR="00EA29EB" w:rsidRPr="00B91E1C">
        <w:rPr>
          <w:rFonts w:ascii="Bookman Old Style" w:hAnsi="Bookman Old Style" w:cs="Arial"/>
          <w:bCs/>
          <w:sz w:val="22"/>
          <w:szCs w:val="22"/>
          <w:lang w:val="es-ES"/>
        </w:rPr>
        <w:t>:</w:t>
      </w:r>
    </w:p>
    <w:p w:rsidR="00EA29EB" w:rsidRPr="00B91E1C" w:rsidRDefault="00EA29EB" w:rsidP="007E54E0">
      <w:pPr>
        <w:spacing w:line="276" w:lineRule="auto"/>
        <w:ind w:firstLine="708"/>
        <w:jc w:val="both"/>
        <w:rPr>
          <w:rFonts w:ascii="Bookman Old Style" w:hAnsi="Bookman Old Style" w:cs="Arial"/>
          <w:bCs/>
          <w:sz w:val="22"/>
          <w:szCs w:val="22"/>
          <w:lang w:val="es-ES"/>
        </w:rPr>
      </w:pPr>
    </w:p>
    <w:p w:rsidR="001F1E5B" w:rsidRPr="00B91E1C" w:rsidRDefault="00C9271F" w:rsidP="009939C6">
      <w:pPr>
        <w:ind w:left="709" w:right="758" w:hanging="1"/>
        <w:jc w:val="both"/>
        <w:rPr>
          <w:rFonts w:ascii="Bookman Old Style" w:hAnsi="Bookman Old Style" w:cs="Arial"/>
          <w:bCs/>
          <w:sz w:val="22"/>
          <w:szCs w:val="22"/>
          <w:lang w:val="es-ES"/>
        </w:rPr>
      </w:pPr>
      <w:r w:rsidRPr="00B91E1C">
        <w:rPr>
          <w:rFonts w:ascii="Bookman Old Style" w:hAnsi="Bookman Old Style" w:cs="Tahoma"/>
          <w:sz w:val="22"/>
          <w:szCs w:val="22"/>
          <w:lang w:val="es-ES"/>
        </w:rPr>
        <w:t>«</w:t>
      </w:r>
      <w:r w:rsidR="00EA29EB" w:rsidRPr="00B91E1C">
        <w:rPr>
          <w:rFonts w:ascii="Bookman Old Style" w:hAnsi="Bookman Old Style" w:cs="Arial"/>
          <w:bCs/>
          <w:sz w:val="22"/>
          <w:szCs w:val="22"/>
          <w:lang w:val="es-ES"/>
        </w:rPr>
        <w:t xml:space="preserve">… </w:t>
      </w:r>
      <w:r w:rsidR="000C4E80" w:rsidRPr="00B91E1C">
        <w:rPr>
          <w:rFonts w:ascii="Bookman Old Style" w:hAnsi="Bookman Old Style"/>
          <w:sz w:val="22"/>
          <w:szCs w:val="22"/>
          <w:lang w:val="es-ES"/>
        </w:rPr>
        <w:t xml:space="preserve">por regla general, el enriquecimiento sin causa, y en consecuencia la </w:t>
      </w:r>
      <w:r w:rsidR="000C4E80" w:rsidRPr="00B91E1C">
        <w:rPr>
          <w:rFonts w:ascii="Bookman Old Style" w:hAnsi="Bookman Old Style"/>
          <w:i/>
          <w:sz w:val="22"/>
          <w:szCs w:val="22"/>
          <w:lang w:val="es-ES"/>
        </w:rPr>
        <w:t>actio de in rem verso</w:t>
      </w:r>
      <w:r w:rsidR="000C4E80" w:rsidRPr="00B91E1C">
        <w:rPr>
          <w:rFonts w:ascii="Bookman Old Style" w:hAnsi="Bookman Old Style"/>
          <w:sz w:val="22"/>
          <w:szCs w:val="22"/>
          <w:lang w:val="es-ES"/>
        </w:rPr>
        <w:t xml:space="preserve">…, no pueden ser invocados para reclamar el pago de obras, entrega de bienes o servicios ejecutados sin la previa celebración de un contrato estatal que los justifique por la elemental pero suficiente razón consistente en que la </w:t>
      </w:r>
      <w:r w:rsidR="000C4E80" w:rsidRPr="00B91E1C">
        <w:rPr>
          <w:rFonts w:ascii="Bookman Old Style" w:hAnsi="Bookman Old Style"/>
          <w:i/>
          <w:sz w:val="22"/>
          <w:szCs w:val="22"/>
          <w:lang w:val="es-ES"/>
        </w:rPr>
        <w:t xml:space="preserve">actio de in rem verso </w:t>
      </w:r>
      <w:r w:rsidR="000C4E80" w:rsidRPr="00B91E1C">
        <w:rPr>
          <w:rFonts w:ascii="Bookman Old Style" w:hAnsi="Bookman Old Style"/>
          <w:sz w:val="22"/>
          <w:szCs w:val="22"/>
          <w:lang w:val="es-ES"/>
        </w:rPr>
        <w:t xml:space="preserve">requiere para su procedencia, entre otros requisitos, que con ella no se pretenda desconocer o contrariar una norma imperativa o </w:t>
      </w:r>
      <w:proofErr w:type="spellStart"/>
      <w:r w:rsidR="000C4E80" w:rsidRPr="006440EE">
        <w:rPr>
          <w:rFonts w:ascii="Bookman Old Style" w:hAnsi="Bookman Old Style"/>
          <w:i/>
          <w:sz w:val="22"/>
          <w:szCs w:val="22"/>
          <w:lang w:val="es-ES"/>
        </w:rPr>
        <w:t>cogente</w:t>
      </w:r>
      <w:proofErr w:type="spellEnd"/>
      <w:r w:rsidRPr="00B91E1C">
        <w:rPr>
          <w:rFonts w:ascii="Bookman Old Style" w:hAnsi="Bookman Old Style" w:cs="Tahoma"/>
          <w:sz w:val="22"/>
          <w:szCs w:val="22"/>
          <w:lang w:val="es-ES"/>
        </w:rPr>
        <w:t>»</w:t>
      </w:r>
      <w:r w:rsidR="000C4E80" w:rsidRPr="00B91E1C">
        <w:rPr>
          <w:rFonts w:ascii="Bookman Old Style" w:hAnsi="Bookman Old Style"/>
          <w:sz w:val="22"/>
          <w:szCs w:val="22"/>
          <w:lang w:val="es-ES"/>
        </w:rPr>
        <w:t>.</w:t>
      </w:r>
    </w:p>
    <w:p w:rsidR="000F7B9A" w:rsidRPr="00B91E1C" w:rsidRDefault="000F7B9A" w:rsidP="007E54E0">
      <w:pPr>
        <w:spacing w:line="276" w:lineRule="auto"/>
        <w:jc w:val="both"/>
        <w:rPr>
          <w:rFonts w:ascii="Bookman Old Style" w:hAnsi="Bookman Old Style" w:cs="Arial"/>
          <w:bCs/>
          <w:sz w:val="22"/>
          <w:szCs w:val="22"/>
          <w:lang w:val="es-ES"/>
        </w:rPr>
      </w:pPr>
    </w:p>
    <w:p w:rsidR="008843C6" w:rsidRPr="00B91E1C" w:rsidRDefault="00EA29EB" w:rsidP="007E54E0">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t>Esta idea se apoy</w:t>
      </w:r>
      <w:r w:rsidR="00F40B2E" w:rsidRPr="00B91E1C">
        <w:rPr>
          <w:rFonts w:ascii="Bookman Old Style" w:hAnsi="Bookman Old Style"/>
          <w:sz w:val="22"/>
          <w:szCs w:val="22"/>
          <w:lang w:val="es-ES"/>
        </w:rPr>
        <w:t>ó</w:t>
      </w:r>
      <w:r w:rsidRPr="00B91E1C">
        <w:rPr>
          <w:rFonts w:ascii="Bookman Old Style" w:hAnsi="Bookman Old Style"/>
          <w:sz w:val="22"/>
          <w:szCs w:val="22"/>
          <w:lang w:val="es-ES"/>
        </w:rPr>
        <w:t xml:space="preserve"> en que los contratos regidos por la Ley 80 de 1993 son solemnes, porque deben constar por escrito, </w:t>
      </w:r>
      <w:r w:rsidR="00F40B2E" w:rsidRPr="00B91E1C">
        <w:rPr>
          <w:rFonts w:ascii="Bookman Old Style" w:hAnsi="Bookman Old Style"/>
          <w:sz w:val="22"/>
          <w:szCs w:val="22"/>
          <w:lang w:val="es-ES"/>
        </w:rPr>
        <w:t>requisito</w:t>
      </w:r>
      <w:r w:rsidRPr="00B91E1C">
        <w:rPr>
          <w:rFonts w:ascii="Bookman Old Style" w:hAnsi="Bookman Old Style"/>
          <w:sz w:val="22"/>
          <w:szCs w:val="22"/>
          <w:lang w:val="es-ES"/>
        </w:rPr>
        <w:t xml:space="preserve"> que </w:t>
      </w:r>
      <w:r w:rsidR="00A613A4">
        <w:rPr>
          <w:rFonts w:ascii="Bookman Old Style" w:hAnsi="Bookman Old Style"/>
          <w:sz w:val="22"/>
          <w:szCs w:val="22"/>
          <w:lang w:val="es-ES"/>
        </w:rPr>
        <w:t>en caso de</w:t>
      </w:r>
      <w:r w:rsidRPr="00B91E1C">
        <w:rPr>
          <w:rFonts w:ascii="Bookman Old Style" w:hAnsi="Bookman Old Style"/>
          <w:sz w:val="22"/>
          <w:szCs w:val="22"/>
          <w:lang w:val="es-ES"/>
        </w:rPr>
        <w:t xml:space="preserve"> desconocerse </w:t>
      </w:r>
      <w:r w:rsidR="00AA5F43" w:rsidRPr="00B91E1C">
        <w:rPr>
          <w:rFonts w:ascii="Bookman Old Style" w:hAnsi="Bookman Old Style"/>
          <w:sz w:val="22"/>
          <w:szCs w:val="22"/>
          <w:lang w:val="es-ES"/>
        </w:rPr>
        <w:t>impide pagar lo ejecutado, por</w:t>
      </w:r>
      <w:r w:rsidR="00F40B2E" w:rsidRPr="00B91E1C">
        <w:rPr>
          <w:rFonts w:ascii="Bookman Old Style" w:hAnsi="Bookman Old Style"/>
          <w:sz w:val="22"/>
          <w:szCs w:val="22"/>
          <w:lang w:val="es-ES"/>
        </w:rPr>
        <w:t xml:space="preserve"> desconocerse </w:t>
      </w:r>
      <w:r w:rsidR="00AA5F43" w:rsidRPr="00B91E1C">
        <w:rPr>
          <w:rFonts w:ascii="Bookman Old Style" w:hAnsi="Bookman Old Style"/>
          <w:sz w:val="22"/>
          <w:szCs w:val="22"/>
          <w:lang w:val="es-ES"/>
        </w:rPr>
        <w:t xml:space="preserve">una norma imperativa; además de que no </w:t>
      </w:r>
      <w:r w:rsidR="00F40B2E" w:rsidRPr="00B91E1C">
        <w:rPr>
          <w:rFonts w:ascii="Bookman Old Style" w:hAnsi="Bookman Old Style"/>
          <w:sz w:val="22"/>
          <w:szCs w:val="22"/>
          <w:lang w:val="es-ES"/>
        </w:rPr>
        <w:t>se puede</w:t>
      </w:r>
      <w:r w:rsidR="00AA5F43" w:rsidRPr="00B91E1C">
        <w:rPr>
          <w:rFonts w:ascii="Bookman Old Style" w:hAnsi="Bookman Old Style"/>
          <w:sz w:val="22"/>
          <w:szCs w:val="22"/>
          <w:lang w:val="es-ES"/>
        </w:rPr>
        <w:t xml:space="preserve"> alegar</w:t>
      </w:r>
      <w:r w:rsidR="00B13501" w:rsidRPr="00B91E1C">
        <w:rPr>
          <w:rFonts w:ascii="Bookman Old Style" w:hAnsi="Bookman Old Style"/>
          <w:sz w:val="22"/>
          <w:szCs w:val="22"/>
          <w:lang w:val="es-ES"/>
        </w:rPr>
        <w:t xml:space="preserve"> la </w:t>
      </w:r>
      <w:r w:rsidR="00AA5F43" w:rsidRPr="00B91E1C">
        <w:rPr>
          <w:rFonts w:ascii="Bookman Old Style" w:hAnsi="Bookman Old Style"/>
          <w:sz w:val="22"/>
          <w:szCs w:val="22"/>
          <w:lang w:val="es-ES"/>
        </w:rPr>
        <w:t xml:space="preserve">buena fe subjetiva </w:t>
      </w:r>
      <w:r w:rsidR="00F40B2E" w:rsidRPr="00B91E1C">
        <w:rPr>
          <w:rFonts w:ascii="Bookman Old Style" w:hAnsi="Bookman Old Style"/>
          <w:sz w:val="22"/>
          <w:szCs w:val="22"/>
          <w:lang w:val="es-ES"/>
        </w:rPr>
        <w:t>sino</w:t>
      </w:r>
      <w:r w:rsidR="00AA5F43" w:rsidRPr="00B91E1C">
        <w:rPr>
          <w:rFonts w:ascii="Bookman Old Style" w:hAnsi="Bookman Old Style"/>
          <w:sz w:val="22"/>
          <w:szCs w:val="22"/>
          <w:lang w:val="es-ES"/>
        </w:rPr>
        <w:t xml:space="preserve"> la buena fe objetiva, es decir, lo expresado y conocido, no la actitud interior y </w:t>
      </w:r>
      <w:r w:rsidR="00041E38" w:rsidRPr="00B91E1C">
        <w:rPr>
          <w:rFonts w:ascii="Bookman Old Style" w:hAnsi="Bookman Old Style"/>
          <w:sz w:val="22"/>
          <w:szCs w:val="22"/>
          <w:lang w:val="es-ES"/>
        </w:rPr>
        <w:t>oculta</w:t>
      </w:r>
      <w:r w:rsidR="00AA5F43" w:rsidRPr="00B91E1C">
        <w:rPr>
          <w:rFonts w:ascii="Bookman Old Style" w:hAnsi="Bookman Old Style"/>
          <w:sz w:val="22"/>
          <w:szCs w:val="22"/>
          <w:lang w:val="es-ES"/>
        </w:rPr>
        <w:t>.</w:t>
      </w:r>
    </w:p>
    <w:p w:rsidR="005D21AB" w:rsidRPr="00B91E1C" w:rsidRDefault="00DF6389" w:rsidP="007E54E0">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t xml:space="preserve">La sentencia </w:t>
      </w:r>
      <w:r w:rsidR="00E71A71" w:rsidRPr="00B91E1C">
        <w:rPr>
          <w:rFonts w:ascii="Bookman Old Style" w:hAnsi="Bookman Old Style"/>
          <w:sz w:val="22"/>
          <w:szCs w:val="22"/>
          <w:lang w:val="es-ES"/>
        </w:rPr>
        <w:t>agregó</w:t>
      </w:r>
      <w:r w:rsidR="005D21AB" w:rsidRPr="00B91E1C">
        <w:rPr>
          <w:rFonts w:ascii="Bookman Old Style" w:hAnsi="Bookman Old Style"/>
          <w:sz w:val="22"/>
          <w:szCs w:val="22"/>
          <w:lang w:val="es-ES"/>
        </w:rPr>
        <w:t xml:space="preserve"> que la </w:t>
      </w:r>
      <w:r w:rsidR="005D21AB" w:rsidRPr="00B91E1C">
        <w:rPr>
          <w:rFonts w:ascii="Bookman Old Style" w:hAnsi="Bookman Old Style"/>
          <w:i/>
          <w:sz w:val="22"/>
          <w:szCs w:val="22"/>
          <w:lang w:val="es-ES"/>
        </w:rPr>
        <w:t>actio in rem verso</w:t>
      </w:r>
      <w:r w:rsidR="005D21AB" w:rsidRPr="00B91E1C">
        <w:rPr>
          <w:rFonts w:ascii="Bookman Old Style" w:hAnsi="Bookman Old Style"/>
          <w:sz w:val="22"/>
          <w:szCs w:val="22"/>
          <w:lang w:val="es-ES"/>
        </w:rPr>
        <w:t xml:space="preserve"> es una pretensión y no una acción, que se tramita </w:t>
      </w:r>
      <w:r w:rsidR="00B91E1C" w:rsidRPr="00B91E1C">
        <w:rPr>
          <w:rFonts w:ascii="Bookman Old Style" w:hAnsi="Bookman Old Style"/>
          <w:sz w:val="22"/>
          <w:szCs w:val="22"/>
          <w:lang w:val="es-ES"/>
        </w:rPr>
        <w:t xml:space="preserve">como una </w:t>
      </w:r>
      <w:r w:rsidR="005D21AB" w:rsidRPr="00B91E1C">
        <w:rPr>
          <w:rFonts w:ascii="Bookman Old Style" w:hAnsi="Bookman Old Style"/>
          <w:sz w:val="22"/>
          <w:szCs w:val="22"/>
          <w:lang w:val="es-ES"/>
        </w:rPr>
        <w:t>reparación directa.</w:t>
      </w:r>
      <w:r w:rsidR="00E00577" w:rsidRPr="00B91E1C">
        <w:rPr>
          <w:rFonts w:ascii="Bookman Old Style" w:hAnsi="Bookman Old Style"/>
          <w:sz w:val="22"/>
          <w:szCs w:val="22"/>
          <w:lang w:val="es-ES"/>
        </w:rPr>
        <w:t xml:space="preserve"> </w:t>
      </w:r>
      <w:r w:rsidRPr="00B91E1C">
        <w:rPr>
          <w:rFonts w:ascii="Bookman Old Style" w:hAnsi="Bookman Old Style"/>
          <w:sz w:val="22"/>
          <w:szCs w:val="22"/>
          <w:lang w:val="es-ES"/>
        </w:rPr>
        <w:t xml:space="preserve">Esto </w:t>
      </w:r>
      <w:r w:rsidR="00E00577" w:rsidRPr="00B91E1C">
        <w:rPr>
          <w:rFonts w:ascii="Bookman Old Style" w:hAnsi="Bookman Old Style"/>
          <w:sz w:val="22"/>
          <w:szCs w:val="22"/>
          <w:lang w:val="es-ES"/>
        </w:rPr>
        <w:t>significa que la caducidad</w:t>
      </w:r>
      <w:r w:rsidR="00F40B2E" w:rsidRPr="00B91E1C">
        <w:rPr>
          <w:rFonts w:ascii="Bookman Old Style" w:hAnsi="Bookman Old Style"/>
          <w:sz w:val="22"/>
          <w:szCs w:val="22"/>
          <w:lang w:val="es-ES"/>
        </w:rPr>
        <w:t xml:space="preserve"> </w:t>
      </w:r>
      <w:r w:rsidR="00E00577" w:rsidRPr="00B91E1C">
        <w:rPr>
          <w:rFonts w:ascii="Bookman Old Style" w:hAnsi="Bookman Old Style"/>
          <w:sz w:val="22"/>
          <w:szCs w:val="22"/>
          <w:lang w:val="es-ES"/>
        </w:rPr>
        <w:t xml:space="preserve">y </w:t>
      </w:r>
      <w:r w:rsidRPr="00B91E1C">
        <w:rPr>
          <w:rFonts w:ascii="Bookman Old Style" w:hAnsi="Bookman Old Style"/>
          <w:sz w:val="22"/>
          <w:szCs w:val="22"/>
          <w:lang w:val="es-ES"/>
        </w:rPr>
        <w:t xml:space="preserve">los </w:t>
      </w:r>
      <w:r w:rsidR="00E00577" w:rsidRPr="00B91E1C">
        <w:rPr>
          <w:rFonts w:ascii="Bookman Old Style" w:hAnsi="Bookman Old Style"/>
          <w:sz w:val="22"/>
          <w:szCs w:val="22"/>
          <w:lang w:val="es-ES"/>
        </w:rPr>
        <w:t>demás aspectos procesales se rige</w:t>
      </w:r>
      <w:r w:rsidR="00B91E1C" w:rsidRPr="00B91E1C">
        <w:rPr>
          <w:rFonts w:ascii="Bookman Old Style" w:hAnsi="Bookman Old Style"/>
          <w:sz w:val="22"/>
          <w:szCs w:val="22"/>
          <w:lang w:val="es-ES"/>
        </w:rPr>
        <w:t>n</w:t>
      </w:r>
      <w:r w:rsidR="00E00577" w:rsidRPr="00B91E1C">
        <w:rPr>
          <w:rFonts w:ascii="Bookman Old Style" w:hAnsi="Bookman Old Style"/>
          <w:sz w:val="22"/>
          <w:szCs w:val="22"/>
          <w:lang w:val="es-ES"/>
        </w:rPr>
        <w:t xml:space="preserve"> por las normas que gobiernan esta acción.</w:t>
      </w:r>
    </w:p>
    <w:p w:rsidR="00041E38" w:rsidRPr="00B91E1C" w:rsidRDefault="00041E38" w:rsidP="007E54E0">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lastRenderedPageBreak/>
        <w:t xml:space="preserve">No </w:t>
      </w:r>
      <w:proofErr w:type="gramStart"/>
      <w:r w:rsidRPr="00B91E1C">
        <w:rPr>
          <w:rFonts w:ascii="Bookman Old Style" w:hAnsi="Bookman Old Style"/>
          <w:sz w:val="22"/>
          <w:szCs w:val="22"/>
          <w:lang w:val="es-ES"/>
        </w:rPr>
        <w:t>obstante</w:t>
      </w:r>
      <w:proofErr w:type="gramEnd"/>
      <w:r w:rsidRPr="00B91E1C">
        <w:rPr>
          <w:rFonts w:ascii="Bookman Old Style" w:hAnsi="Bookman Old Style"/>
          <w:sz w:val="22"/>
          <w:szCs w:val="22"/>
          <w:lang w:val="es-ES"/>
        </w:rPr>
        <w:t xml:space="preserve"> la dureza de la tesis</w:t>
      </w:r>
      <w:r w:rsidR="00B91E1C" w:rsidRPr="00B91E1C">
        <w:rPr>
          <w:rFonts w:ascii="Bookman Old Style" w:hAnsi="Bookman Old Style"/>
          <w:sz w:val="22"/>
          <w:szCs w:val="22"/>
          <w:lang w:val="es-ES"/>
        </w:rPr>
        <w:t xml:space="preserve"> </w:t>
      </w:r>
      <w:r w:rsidR="00FE78A8">
        <w:rPr>
          <w:rFonts w:ascii="Bookman Old Style" w:hAnsi="Bookman Old Style"/>
          <w:sz w:val="22"/>
          <w:szCs w:val="22"/>
          <w:lang w:val="es-ES"/>
        </w:rPr>
        <w:t xml:space="preserve">principal </w:t>
      </w:r>
      <w:r w:rsidR="00B91E1C" w:rsidRPr="00B91E1C">
        <w:rPr>
          <w:rFonts w:ascii="Bookman Old Style" w:hAnsi="Bookman Old Style"/>
          <w:sz w:val="22"/>
          <w:szCs w:val="22"/>
          <w:lang w:val="es-ES"/>
        </w:rPr>
        <w:t>–</w:t>
      </w:r>
      <w:r w:rsidR="00E71A71" w:rsidRPr="00B91E1C">
        <w:rPr>
          <w:rFonts w:ascii="Bookman Old Style" w:hAnsi="Bookman Old Style"/>
          <w:sz w:val="22"/>
          <w:szCs w:val="22"/>
          <w:lang w:val="es-ES"/>
        </w:rPr>
        <w:t xml:space="preserve">porque niega el pago </w:t>
      </w:r>
      <w:r w:rsidR="00B91E1C" w:rsidRPr="00B91E1C">
        <w:rPr>
          <w:rFonts w:ascii="Bookman Old Style" w:hAnsi="Bookman Old Style"/>
          <w:sz w:val="22"/>
          <w:szCs w:val="22"/>
          <w:lang w:val="es-ES"/>
        </w:rPr>
        <w:t xml:space="preserve">de </w:t>
      </w:r>
      <w:r w:rsidR="00E71A71" w:rsidRPr="00B91E1C">
        <w:rPr>
          <w:rFonts w:ascii="Bookman Old Style" w:hAnsi="Bookman Old Style"/>
          <w:sz w:val="22"/>
          <w:szCs w:val="22"/>
          <w:lang w:val="es-ES"/>
        </w:rPr>
        <w:t>prestaciones sin contrato</w:t>
      </w:r>
      <w:r w:rsidR="00B91E1C" w:rsidRPr="00B91E1C">
        <w:rPr>
          <w:rFonts w:ascii="Bookman Old Style" w:hAnsi="Bookman Old Style"/>
          <w:sz w:val="22"/>
          <w:szCs w:val="22"/>
          <w:lang w:val="es-ES"/>
        </w:rPr>
        <w:t>–</w:t>
      </w:r>
      <w:r w:rsidR="00E71A71" w:rsidRPr="00B91E1C">
        <w:rPr>
          <w:rFonts w:ascii="Bookman Old Style" w:hAnsi="Bookman Old Style"/>
          <w:sz w:val="22"/>
          <w:szCs w:val="22"/>
          <w:lang w:val="es-ES"/>
        </w:rPr>
        <w:t>,</w:t>
      </w:r>
      <w:r w:rsidR="00B91E1C" w:rsidRPr="00B91E1C">
        <w:rPr>
          <w:rFonts w:ascii="Bookman Old Style" w:hAnsi="Bookman Old Style"/>
          <w:sz w:val="22"/>
          <w:szCs w:val="22"/>
          <w:lang w:val="es-ES"/>
        </w:rPr>
        <w:t xml:space="preserve"> </w:t>
      </w:r>
      <w:r w:rsidRPr="00B91E1C">
        <w:rPr>
          <w:rFonts w:ascii="Bookman Old Style" w:hAnsi="Bookman Old Style"/>
          <w:sz w:val="22"/>
          <w:szCs w:val="22"/>
          <w:lang w:val="es-ES"/>
        </w:rPr>
        <w:t xml:space="preserve">la Sala </w:t>
      </w:r>
      <w:r w:rsidR="00B91E1C" w:rsidRPr="00B91E1C">
        <w:rPr>
          <w:rFonts w:ascii="Bookman Old Style" w:hAnsi="Bookman Old Style"/>
          <w:sz w:val="22"/>
          <w:szCs w:val="22"/>
          <w:lang w:val="es-ES"/>
        </w:rPr>
        <w:t>admite</w:t>
      </w:r>
      <w:r w:rsidRPr="00B91E1C">
        <w:rPr>
          <w:rFonts w:ascii="Bookman Old Style" w:hAnsi="Bookman Old Style"/>
          <w:sz w:val="22"/>
          <w:szCs w:val="22"/>
          <w:lang w:val="es-ES"/>
        </w:rPr>
        <w:t xml:space="preserve"> que existen unos pocos casos –excepcionales– </w:t>
      </w:r>
      <w:r w:rsidR="00DF6389" w:rsidRPr="00B91E1C">
        <w:rPr>
          <w:rFonts w:ascii="Bookman Old Style" w:hAnsi="Bookman Old Style"/>
          <w:sz w:val="22"/>
          <w:szCs w:val="22"/>
          <w:lang w:val="es-ES"/>
        </w:rPr>
        <w:t>donde</w:t>
      </w:r>
      <w:r w:rsidRPr="00B91E1C">
        <w:rPr>
          <w:rFonts w:ascii="Bookman Old Style" w:hAnsi="Bookman Old Style"/>
          <w:sz w:val="22"/>
          <w:szCs w:val="22"/>
          <w:lang w:val="es-ES"/>
        </w:rPr>
        <w:t xml:space="preserve"> pese a violarse la ley que </w:t>
      </w:r>
      <w:r w:rsidR="00B91E1C" w:rsidRPr="00B91E1C">
        <w:rPr>
          <w:rFonts w:ascii="Bookman Old Style" w:hAnsi="Bookman Old Style"/>
          <w:sz w:val="22"/>
          <w:szCs w:val="22"/>
          <w:lang w:val="es-ES"/>
        </w:rPr>
        <w:t xml:space="preserve">exige </w:t>
      </w:r>
      <w:r w:rsidRPr="00B91E1C">
        <w:rPr>
          <w:rFonts w:ascii="Bookman Old Style" w:hAnsi="Bookman Old Style"/>
          <w:sz w:val="22"/>
          <w:szCs w:val="22"/>
          <w:lang w:val="es-ES"/>
        </w:rPr>
        <w:t xml:space="preserve">perfeccionar </w:t>
      </w:r>
      <w:r w:rsidR="00DF6389" w:rsidRPr="00B91E1C">
        <w:rPr>
          <w:rFonts w:ascii="Bookman Old Style" w:hAnsi="Bookman Old Style"/>
          <w:sz w:val="22"/>
          <w:szCs w:val="22"/>
          <w:lang w:val="es-ES"/>
        </w:rPr>
        <w:t xml:space="preserve">por escrito </w:t>
      </w:r>
      <w:r w:rsidRPr="00B91E1C">
        <w:rPr>
          <w:rFonts w:ascii="Bookman Old Style" w:hAnsi="Bookman Old Style"/>
          <w:sz w:val="22"/>
          <w:szCs w:val="22"/>
          <w:lang w:val="es-ES"/>
        </w:rPr>
        <w:t xml:space="preserve">los contratos, es posible </w:t>
      </w:r>
      <w:r w:rsidR="00E71A71" w:rsidRPr="00B91E1C">
        <w:rPr>
          <w:rFonts w:ascii="Bookman Old Style" w:hAnsi="Bookman Old Style"/>
          <w:sz w:val="22"/>
          <w:szCs w:val="22"/>
          <w:lang w:val="es-ES"/>
        </w:rPr>
        <w:t xml:space="preserve">ordenar el pago y reconocer </w:t>
      </w:r>
      <w:r w:rsidRPr="00B91E1C">
        <w:rPr>
          <w:rFonts w:ascii="Bookman Old Style" w:hAnsi="Bookman Old Style"/>
          <w:sz w:val="22"/>
          <w:szCs w:val="22"/>
          <w:lang w:val="es-ES"/>
        </w:rPr>
        <w:t>el enriquecimiento sin causa por razones de justicia superior</w:t>
      </w:r>
      <w:r w:rsidR="00B91E1C" w:rsidRPr="00B91E1C">
        <w:rPr>
          <w:rFonts w:ascii="Bookman Old Style" w:hAnsi="Bookman Old Style"/>
          <w:sz w:val="22"/>
          <w:szCs w:val="22"/>
          <w:lang w:val="es-ES"/>
        </w:rPr>
        <w:t>:</w:t>
      </w:r>
    </w:p>
    <w:p w:rsidR="008843C6" w:rsidRPr="00B91E1C" w:rsidRDefault="008843C6" w:rsidP="007E54E0">
      <w:pPr>
        <w:spacing w:line="276" w:lineRule="auto"/>
        <w:rPr>
          <w:rFonts w:ascii="Bookman Old Style" w:hAnsi="Bookman Old Style"/>
          <w:sz w:val="22"/>
          <w:szCs w:val="22"/>
          <w:lang w:val="es-ES"/>
        </w:rPr>
      </w:pPr>
    </w:p>
    <w:p w:rsidR="00442E03" w:rsidRPr="00A53EC2" w:rsidRDefault="00C9271F" w:rsidP="00A53EC2">
      <w:pPr>
        <w:ind w:left="709" w:right="760"/>
        <w:jc w:val="both"/>
        <w:rPr>
          <w:rFonts w:ascii="Bookman Old Style" w:hAnsi="Bookman Old Style" w:cs="Arial"/>
          <w:bCs/>
          <w:sz w:val="21"/>
          <w:szCs w:val="21"/>
          <w:lang w:val="es-ES"/>
        </w:rPr>
      </w:pPr>
      <w:r w:rsidRPr="00B91E1C">
        <w:rPr>
          <w:rFonts w:ascii="Bookman Old Style" w:hAnsi="Bookman Old Style" w:cs="Tahoma"/>
          <w:sz w:val="22"/>
          <w:szCs w:val="22"/>
          <w:lang w:val="es-ES"/>
        </w:rPr>
        <w:t>«</w:t>
      </w:r>
      <w:r w:rsidR="00442E03" w:rsidRPr="00A53EC2">
        <w:rPr>
          <w:rFonts w:ascii="Bookman Old Style" w:hAnsi="Bookman Old Style" w:cs="Arial"/>
          <w:bCs/>
          <w:sz w:val="21"/>
          <w:szCs w:val="21"/>
          <w:lang w:val="es-ES"/>
        </w:rPr>
        <w:t xml:space="preserve">Esos casos en donde, de manera excepcional y por razones de interés público o general, resultaría procedente la </w:t>
      </w:r>
      <w:r w:rsidR="00442E03" w:rsidRPr="00A53EC2">
        <w:rPr>
          <w:rFonts w:ascii="Bookman Old Style" w:hAnsi="Bookman Old Style" w:cs="Arial"/>
          <w:bCs/>
          <w:i/>
          <w:sz w:val="21"/>
          <w:szCs w:val="21"/>
          <w:lang w:val="es-ES"/>
        </w:rPr>
        <w:t>actio de in rem verso</w:t>
      </w:r>
      <w:r w:rsidR="00442E03" w:rsidRPr="00A53EC2">
        <w:rPr>
          <w:rFonts w:ascii="Bookman Old Style" w:hAnsi="Bookman Old Style" w:cs="Arial"/>
          <w:bCs/>
          <w:sz w:val="21"/>
          <w:szCs w:val="21"/>
          <w:lang w:val="es-ES"/>
        </w:rPr>
        <w:t xml:space="preserve"> a juicio de la Sala, serían entre otros los siguientes:</w:t>
      </w:r>
    </w:p>
    <w:p w:rsidR="00442E03" w:rsidRPr="00A53EC2" w:rsidRDefault="00442E03" w:rsidP="00A53EC2">
      <w:pPr>
        <w:ind w:left="709" w:right="760"/>
        <w:rPr>
          <w:rFonts w:ascii="Bookman Old Style" w:hAnsi="Bookman Old Style"/>
          <w:sz w:val="21"/>
          <w:szCs w:val="21"/>
          <w:lang w:val="es-ES"/>
        </w:rPr>
      </w:pPr>
    </w:p>
    <w:p w:rsidR="00442E03" w:rsidRPr="00A53EC2" w:rsidRDefault="00C9271F" w:rsidP="00C9271F">
      <w:pPr>
        <w:ind w:left="709" w:right="760"/>
        <w:jc w:val="both"/>
        <w:rPr>
          <w:rFonts w:ascii="Bookman Old Style" w:hAnsi="Bookman Old Style" w:cs="Arial"/>
          <w:bCs/>
          <w:sz w:val="21"/>
          <w:szCs w:val="21"/>
          <w:lang w:val="es-ES"/>
        </w:rPr>
      </w:pPr>
      <w:proofErr w:type="gramStart"/>
      <w:r w:rsidRPr="00B91E1C">
        <w:rPr>
          <w:rFonts w:ascii="Bookman Old Style" w:hAnsi="Bookman Old Style" w:cs="Tahoma"/>
          <w:sz w:val="22"/>
          <w:szCs w:val="22"/>
          <w:lang w:val="es-ES"/>
        </w:rPr>
        <w:t>»</w:t>
      </w:r>
      <w:r>
        <w:rPr>
          <w:rFonts w:ascii="Bookman Old Style" w:hAnsi="Bookman Old Style" w:cs="Arial"/>
          <w:bCs/>
          <w:sz w:val="21"/>
          <w:szCs w:val="21"/>
          <w:lang w:val="es-ES"/>
        </w:rPr>
        <w:t>a</w:t>
      </w:r>
      <w:proofErr w:type="gramEnd"/>
      <w:r>
        <w:rPr>
          <w:rFonts w:ascii="Bookman Old Style" w:hAnsi="Bookman Old Style" w:cs="Arial"/>
          <w:bCs/>
          <w:sz w:val="21"/>
          <w:szCs w:val="21"/>
          <w:lang w:val="es-ES"/>
        </w:rPr>
        <w:t xml:space="preserve">) </w:t>
      </w:r>
      <w:r w:rsidR="00442E03" w:rsidRPr="00A53EC2">
        <w:rPr>
          <w:rFonts w:ascii="Bookman Old Style" w:hAnsi="Bookman Old Style" w:cs="Arial"/>
          <w:bCs/>
          <w:sz w:val="21"/>
          <w:szCs w:val="21"/>
          <w:lang w:val="es-ES"/>
        </w:rPr>
        <w:t xml:space="preserve">Cuando se acredite de manera fehaciente y evidente en el proceso, que fue exclusivamente la entidad pública, sin participación y sin culpa del particular afectado, la que en virtud de su supremacía, de su autoridad o de su </w:t>
      </w:r>
      <w:proofErr w:type="spellStart"/>
      <w:r w:rsidR="00442E03" w:rsidRPr="00A53EC2">
        <w:rPr>
          <w:rFonts w:ascii="Bookman Old Style" w:hAnsi="Bookman Old Style" w:cs="Arial"/>
          <w:bCs/>
          <w:i/>
          <w:sz w:val="21"/>
          <w:szCs w:val="21"/>
          <w:lang w:val="es-ES"/>
        </w:rPr>
        <w:t>imperium</w:t>
      </w:r>
      <w:proofErr w:type="spellEnd"/>
      <w:r w:rsidR="00442E03" w:rsidRPr="00A53EC2">
        <w:rPr>
          <w:rFonts w:ascii="Bookman Old Style" w:hAnsi="Bookman Old Style" w:cs="Arial"/>
          <w:bCs/>
          <w:i/>
          <w:sz w:val="21"/>
          <w:szCs w:val="21"/>
          <w:lang w:val="es-ES"/>
        </w:rPr>
        <w:t xml:space="preserve"> </w:t>
      </w:r>
      <w:r w:rsidR="00442E03" w:rsidRPr="00A53EC2">
        <w:rPr>
          <w:rFonts w:ascii="Bookman Old Style" w:hAnsi="Bookman Old Style" w:cs="Arial"/>
          <w:bCs/>
          <w:sz w:val="21"/>
          <w:szCs w:val="21"/>
          <w:lang w:val="es-ES"/>
        </w:rPr>
        <w:t>constriñó o impuso al respectivo particular la ejecución de prestaciones o el suministro de bienes o servicios en su beneficio, por fuera del marco de un contrato estatal o con prescindencia del mismo.</w:t>
      </w:r>
    </w:p>
    <w:p w:rsidR="00442E03" w:rsidRPr="00A53EC2" w:rsidRDefault="00442E03" w:rsidP="00A53EC2">
      <w:pPr>
        <w:ind w:left="709" w:right="760"/>
        <w:jc w:val="both"/>
        <w:rPr>
          <w:rFonts w:ascii="Bookman Old Style" w:hAnsi="Bookman Old Style" w:cs="Arial"/>
          <w:bCs/>
          <w:sz w:val="21"/>
          <w:szCs w:val="21"/>
          <w:lang w:val="es-ES"/>
        </w:rPr>
      </w:pPr>
    </w:p>
    <w:p w:rsidR="00442E03" w:rsidRPr="00A53EC2" w:rsidRDefault="00C9271F" w:rsidP="00C9271F">
      <w:pPr>
        <w:ind w:left="709" w:right="760"/>
        <w:jc w:val="both"/>
        <w:rPr>
          <w:rFonts w:ascii="Bookman Old Style" w:hAnsi="Bookman Old Style" w:cs="Arial"/>
          <w:bCs/>
          <w:sz w:val="21"/>
          <w:szCs w:val="21"/>
          <w:lang w:val="es-ES"/>
        </w:rPr>
      </w:pPr>
      <w:proofErr w:type="gramStart"/>
      <w:r w:rsidRPr="00B91E1C">
        <w:rPr>
          <w:rFonts w:ascii="Bookman Old Style" w:hAnsi="Bookman Old Style" w:cs="Tahoma"/>
          <w:sz w:val="22"/>
          <w:szCs w:val="22"/>
          <w:lang w:val="es-ES"/>
        </w:rPr>
        <w:t>»</w:t>
      </w:r>
      <w:r>
        <w:rPr>
          <w:rFonts w:ascii="Bookman Old Style" w:hAnsi="Bookman Old Style" w:cs="Arial"/>
          <w:bCs/>
          <w:sz w:val="21"/>
          <w:szCs w:val="21"/>
          <w:lang w:val="es-ES"/>
        </w:rPr>
        <w:t>b</w:t>
      </w:r>
      <w:proofErr w:type="gramEnd"/>
      <w:r>
        <w:rPr>
          <w:rFonts w:ascii="Bookman Old Style" w:hAnsi="Bookman Old Style" w:cs="Arial"/>
          <w:bCs/>
          <w:sz w:val="21"/>
          <w:szCs w:val="21"/>
          <w:lang w:val="es-ES"/>
        </w:rPr>
        <w:t xml:space="preserve">) </w:t>
      </w:r>
      <w:r w:rsidR="00442E03" w:rsidRPr="00A53EC2">
        <w:rPr>
          <w:rFonts w:ascii="Bookman Old Style" w:hAnsi="Bookman Old Style" w:cs="Arial"/>
          <w:bCs/>
          <w:sz w:val="21"/>
          <w:szCs w:val="21"/>
          <w:lang w:val="es-ES"/>
        </w:rPr>
        <w:t>En los que es urgente y necesario adquirir bienes, solicitar servicios, suministros, ordenar obras con el fin de prestar un servicio para evitar una amenaza o una lesión inminente e irreversible al derecho a la salud, derecho este que es fundamental por conexidad con los derechos a la vida y a la integridad personal, urgencia y necesidad que deben aparecer de manera objetiva y manifiesta</w:t>
      </w:r>
      <w:r w:rsidR="00DF6389" w:rsidRPr="00A53EC2">
        <w:rPr>
          <w:rFonts w:ascii="Bookman Old Style" w:hAnsi="Bookman Old Style" w:cs="Arial"/>
          <w:bCs/>
          <w:sz w:val="21"/>
          <w:szCs w:val="21"/>
          <w:lang w:val="es-ES"/>
        </w:rPr>
        <w:t>..</w:t>
      </w:r>
      <w:r w:rsidR="00442E03" w:rsidRPr="00A53EC2">
        <w:rPr>
          <w:rFonts w:ascii="Bookman Old Style" w:hAnsi="Bookman Old Style" w:cs="Arial"/>
          <w:bCs/>
          <w:sz w:val="21"/>
          <w:szCs w:val="21"/>
          <w:lang w:val="es-ES"/>
        </w:rPr>
        <w:t>.</w:t>
      </w:r>
    </w:p>
    <w:p w:rsidR="00442E03" w:rsidRPr="00A53EC2" w:rsidRDefault="00442E03" w:rsidP="00A53EC2">
      <w:pPr>
        <w:ind w:left="709" w:right="760"/>
        <w:jc w:val="both"/>
        <w:rPr>
          <w:rFonts w:ascii="Bookman Old Style" w:hAnsi="Bookman Old Style" w:cs="Arial"/>
          <w:bCs/>
          <w:sz w:val="21"/>
          <w:szCs w:val="21"/>
          <w:lang w:val="es-ES"/>
        </w:rPr>
      </w:pPr>
    </w:p>
    <w:p w:rsidR="00442E03" w:rsidRPr="00A53EC2" w:rsidRDefault="00C9271F" w:rsidP="00C9271F">
      <w:pPr>
        <w:ind w:left="709" w:right="760"/>
        <w:jc w:val="both"/>
        <w:rPr>
          <w:rFonts w:ascii="Bookman Old Style" w:hAnsi="Bookman Old Style" w:cs="Arial"/>
          <w:bCs/>
          <w:sz w:val="22"/>
          <w:szCs w:val="22"/>
          <w:lang w:val="es-ES"/>
        </w:rPr>
      </w:pPr>
      <w:r w:rsidRPr="00B91E1C">
        <w:rPr>
          <w:rFonts w:ascii="Bookman Old Style" w:hAnsi="Bookman Old Style" w:cs="Tahoma"/>
          <w:sz w:val="22"/>
          <w:szCs w:val="22"/>
          <w:lang w:val="es-ES"/>
        </w:rPr>
        <w:t>»</w:t>
      </w:r>
      <w:r>
        <w:rPr>
          <w:rFonts w:ascii="Bookman Old Style" w:hAnsi="Bookman Old Style" w:cs="Arial"/>
          <w:bCs/>
          <w:sz w:val="21"/>
          <w:szCs w:val="21"/>
          <w:lang w:val="es-ES"/>
        </w:rPr>
        <w:t xml:space="preserve">c) </w:t>
      </w:r>
      <w:r w:rsidR="00442E03" w:rsidRPr="00A53EC2">
        <w:rPr>
          <w:rFonts w:ascii="Bookman Old Style" w:hAnsi="Bookman Old Style" w:cs="Arial"/>
          <w:bCs/>
          <w:sz w:val="21"/>
          <w:szCs w:val="21"/>
          <w:lang w:val="es-ES"/>
        </w:rPr>
        <w:t>En los que debiéndose legalmente declarar una situación de urgencia manifiesta, la administración omite tal declaratoria y procede a solicitar la ejecución de obras, prestación de servicios y suministro de bienes, sin contrato escrito</w:t>
      </w:r>
      <w:r w:rsidR="00DF6389" w:rsidRPr="00A53EC2">
        <w:rPr>
          <w:rFonts w:ascii="Bookman Old Style" w:hAnsi="Bookman Old Style" w:cs="Arial"/>
          <w:bCs/>
          <w:sz w:val="21"/>
          <w:szCs w:val="21"/>
          <w:lang w:val="es-ES"/>
        </w:rPr>
        <w:t>…</w:t>
      </w:r>
      <w:r w:rsidRPr="00B91E1C">
        <w:rPr>
          <w:rFonts w:ascii="Bookman Old Style" w:hAnsi="Bookman Old Style" w:cs="Tahoma"/>
          <w:sz w:val="22"/>
          <w:szCs w:val="22"/>
          <w:lang w:val="es-ES"/>
        </w:rPr>
        <w:t>»</w:t>
      </w:r>
      <w:r w:rsidR="000A3E0B" w:rsidRPr="00A53EC2">
        <w:rPr>
          <w:rFonts w:ascii="Bookman Old Style" w:hAnsi="Bookman Old Style" w:cs="Arial"/>
          <w:bCs/>
          <w:sz w:val="21"/>
          <w:szCs w:val="21"/>
          <w:lang w:val="es-ES"/>
        </w:rPr>
        <w:t>.</w:t>
      </w:r>
    </w:p>
    <w:p w:rsidR="00442E03" w:rsidRPr="00B91E1C" w:rsidRDefault="00442E03" w:rsidP="007E54E0">
      <w:pPr>
        <w:spacing w:line="276" w:lineRule="auto"/>
        <w:rPr>
          <w:rFonts w:ascii="Bookman Old Style" w:hAnsi="Bookman Old Style"/>
          <w:sz w:val="22"/>
          <w:szCs w:val="22"/>
          <w:lang w:val="es-ES"/>
        </w:rPr>
      </w:pPr>
    </w:p>
    <w:p w:rsidR="00B91E1C" w:rsidRPr="00B91E1C" w:rsidRDefault="00B91E1C" w:rsidP="00B91E1C">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t xml:space="preserve">Estos casos no son solo tres, como cree la mayoría de </w:t>
      </w:r>
      <w:proofErr w:type="gramStart"/>
      <w:r w:rsidRPr="00B91E1C">
        <w:rPr>
          <w:rFonts w:ascii="Bookman Old Style" w:hAnsi="Bookman Old Style"/>
          <w:sz w:val="22"/>
          <w:szCs w:val="22"/>
          <w:lang w:val="es-ES"/>
        </w:rPr>
        <w:t>operadores</w:t>
      </w:r>
      <w:proofErr w:type="gramEnd"/>
      <w:r w:rsidRPr="00B91E1C">
        <w:rPr>
          <w:rFonts w:ascii="Bookman Old Style" w:hAnsi="Bookman Old Style"/>
          <w:sz w:val="22"/>
          <w:szCs w:val="22"/>
          <w:lang w:val="es-ES"/>
        </w:rPr>
        <w:t xml:space="preserve"> jurídicos, porque el párrafo introductorio a la enumeración dice que: </w:t>
      </w:r>
      <w:r w:rsidR="007420B6" w:rsidRPr="00B91E1C">
        <w:rPr>
          <w:rFonts w:ascii="Bookman Old Style" w:hAnsi="Bookman Old Style" w:cs="Tahoma"/>
          <w:sz w:val="22"/>
          <w:szCs w:val="22"/>
          <w:lang w:val="es-ES"/>
        </w:rPr>
        <w:t>«</w:t>
      </w:r>
      <w:r w:rsidRPr="00B91E1C">
        <w:rPr>
          <w:rFonts w:ascii="Bookman Old Style" w:hAnsi="Bookman Old Style"/>
          <w:sz w:val="22"/>
          <w:szCs w:val="22"/>
          <w:lang w:val="es-ES"/>
        </w:rPr>
        <w:t xml:space="preserve">… </w:t>
      </w:r>
      <w:r w:rsidRPr="00B91E1C">
        <w:rPr>
          <w:rFonts w:ascii="Bookman Old Style" w:hAnsi="Bookman Old Style" w:cs="Arial"/>
          <w:bCs/>
          <w:sz w:val="22"/>
          <w:szCs w:val="22"/>
          <w:lang w:val="es-ES"/>
        </w:rPr>
        <w:t xml:space="preserve">serían </w:t>
      </w:r>
      <w:r w:rsidRPr="00A53EC2">
        <w:rPr>
          <w:rFonts w:ascii="Bookman Old Style" w:hAnsi="Bookman Old Style" w:cs="Arial"/>
          <w:bCs/>
          <w:i/>
          <w:sz w:val="22"/>
          <w:szCs w:val="22"/>
          <w:lang w:val="es-ES"/>
        </w:rPr>
        <w:t>entre otros</w:t>
      </w:r>
      <w:r w:rsidRPr="00B91E1C">
        <w:rPr>
          <w:rFonts w:ascii="Bookman Old Style" w:hAnsi="Bookman Old Style" w:cs="Arial"/>
          <w:bCs/>
          <w:sz w:val="22"/>
          <w:szCs w:val="22"/>
          <w:lang w:val="es-ES"/>
        </w:rPr>
        <w:t xml:space="preserve"> los siguientes:</w:t>
      </w:r>
      <w:r w:rsidR="007420B6" w:rsidRPr="00B91E1C">
        <w:rPr>
          <w:rFonts w:ascii="Bookman Old Style" w:hAnsi="Bookman Old Style" w:cs="Tahoma"/>
          <w:sz w:val="22"/>
          <w:szCs w:val="22"/>
          <w:lang w:val="es-ES"/>
        </w:rPr>
        <w:t>»</w:t>
      </w:r>
      <w:r w:rsidRPr="00B91E1C">
        <w:rPr>
          <w:rFonts w:ascii="Bookman Old Style" w:hAnsi="Bookman Old Style" w:cs="Arial"/>
          <w:bCs/>
          <w:sz w:val="22"/>
          <w:szCs w:val="22"/>
          <w:lang w:val="es-ES"/>
        </w:rPr>
        <w:t xml:space="preserve">, admitiendo que el juez puede encontrar </w:t>
      </w:r>
      <w:r w:rsidRPr="00B91E1C">
        <w:rPr>
          <w:rFonts w:ascii="Bookman Old Style" w:hAnsi="Bookman Old Style" w:cs="Arial"/>
          <w:bCs/>
          <w:i/>
          <w:sz w:val="22"/>
          <w:szCs w:val="22"/>
          <w:lang w:val="es-ES"/>
        </w:rPr>
        <w:t>otros</w:t>
      </w:r>
      <w:r w:rsidRPr="00B91E1C">
        <w:rPr>
          <w:rFonts w:ascii="Bookman Old Style" w:hAnsi="Bookman Old Style" w:cs="Arial"/>
          <w:bCs/>
          <w:sz w:val="22"/>
          <w:szCs w:val="22"/>
          <w:lang w:val="es-ES"/>
        </w:rPr>
        <w:t xml:space="preserve"> supuestos, que se parezcan a los identificados por la Sección Tercera.</w:t>
      </w:r>
    </w:p>
    <w:p w:rsidR="005D1FEF" w:rsidRPr="00B91E1C" w:rsidRDefault="000A3E0B" w:rsidP="00B91E1C">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t>Finalmente, s</w:t>
      </w:r>
      <w:r w:rsidR="00292AD7" w:rsidRPr="00B91E1C">
        <w:rPr>
          <w:rFonts w:ascii="Bookman Old Style" w:hAnsi="Bookman Old Style"/>
          <w:sz w:val="22"/>
          <w:szCs w:val="22"/>
          <w:lang w:val="es-ES"/>
        </w:rPr>
        <w:t>obre el monto de</w:t>
      </w:r>
      <w:r w:rsidRPr="00B91E1C">
        <w:rPr>
          <w:rFonts w:ascii="Bookman Old Style" w:hAnsi="Bookman Old Style"/>
          <w:sz w:val="22"/>
          <w:szCs w:val="22"/>
          <w:lang w:val="es-ES"/>
        </w:rPr>
        <w:t xml:space="preserve"> </w:t>
      </w:r>
      <w:r w:rsidR="00292AD7" w:rsidRPr="00B91E1C">
        <w:rPr>
          <w:rFonts w:ascii="Bookman Old Style" w:hAnsi="Bookman Old Style"/>
          <w:sz w:val="22"/>
          <w:szCs w:val="22"/>
          <w:lang w:val="es-ES"/>
        </w:rPr>
        <w:t>l</w:t>
      </w:r>
      <w:r w:rsidRPr="00B91E1C">
        <w:rPr>
          <w:rFonts w:ascii="Bookman Old Style" w:hAnsi="Bookman Old Style"/>
          <w:sz w:val="22"/>
          <w:szCs w:val="22"/>
          <w:lang w:val="es-ES"/>
        </w:rPr>
        <w:t>a condena,</w:t>
      </w:r>
      <w:r w:rsidR="00292AD7" w:rsidRPr="00B91E1C">
        <w:rPr>
          <w:rFonts w:ascii="Bookman Old Style" w:hAnsi="Bookman Old Style"/>
          <w:sz w:val="22"/>
          <w:szCs w:val="22"/>
          <w:lang w:val="es-ES"/>
        </w:rPr>
        <w:t xml:space="preserve"> la sentencia concluy</w:t>
      </w:r>
      <w:r w:rsidR="00833918" w:rsidRPr="00B91E1C">
        <w:rPr>
          <w:rFonts w:ascii="Bookman Old Style" w:hAnsi="Bookman Old Style"/>
          <w:sz w:val="22"/>
          <w:szCs w:val="22"/>
          <w:lang w:val="es-ES"/>
        </w:rPr>
        <w:t>ó</w:t>
      </w:r>
      <w:r w:rsidR="00292AD7" w:rsidRPr="00B91E1C">
        <w:rPr>
          <w:rFonts w:ascii="Bookman Old Style" w:hAnsi="Bookman Old Style"/>
          <w:sz w:val="22"/>
          <w:szCs w:val="22"/>
          <w:lang w:val="es-ES"/>
        </w:rPr>
        <w:t xml:space="preserve"> –como la mayoría de </w:t>
      </w:r>
      <w:proofErr w:type="gramStart"/>
      <w:r w:rsidR="004C1D4B" w:rsidRPr="00B91E1C">
        <w:rPr>
          <w:rFonts w:ascii="Bookman Old Style" w:hAnsi="Bookman Old Style"/>
          <w:sz w:val="22"/>
          <w:szCs w:val="22"/>
          <w:lang w:val="es-ES"/>
        </w:rPr>
        <w:t>providencias</w:t>
      </w:r>
      <w:proofErr w:type="gramEnd"/>
      <w:r w:rsidR="004C1D4B" w:rsidRPr="00B91E1C">
        <w:rPr>
          <w:rFonts w:ascii="Bookman Old Style" w:hAnsi="Bookman Old Style"/>
          <w:sz w:val="22"/>
          <w:szCs w:val="22"/>
          <w:lang w:val="es-ES"/>
        </w:rPr>
        <w:t xml:space="preserve"> del pasado–</w:t>
      </w:r>
      <w:r w:rsidR="00292AD7" w:rsidRPr="00B91E1C">
        <w:rPr>
          <w:rFonts w:ascii="Bookman Old Style" w:hAnsi="Bookman Old Style"/>
          <w:sz w:val="22"/>
          <w:szCs w:val="22"/>
          <w:lang w:val="es-ES"/>
        </w:rPr>
        <w:t xml:space="preserve"> que solo se debe </w:t>
      </w:r>
      <w:r w:rsidR="00292AD7" w:rsidRPr="00B91E1C">
        <w:rPr>
          <w:rFonts w:ascii="Bookman Old Style" w:hAnsi="Bookman Old Style"/>
          <w:i/>
          <w:sz w:val="22"/>
          <w:szCs w:val="22"/>
          <w:lang w:val="es-ES"/>
        </w:rPr>
        <w:t>compensar</w:t>
      </w:r>
      <w:r w:rsidR="00292AD7" w:rsidRPr="00B91E1C">
        <w:rPr>
          <w:rFonts w:ascii="Bookman Old Style" w:hAnsi="Bookman Old Style"/>
          <w:sz w:val="22"/>
          <w:szCs w:val="22"/>
          <w:lang w:val="es-ES"/>
        </w:rPr>
        <w:t xml:space="preserve"> y </w:t>
      </w:r>
      <w:r w:rsidR="00292AD7" w:rsidRPr="00B91E1C">
        <w:rPr>
          <w:rFonts w:ascii="Bookman Old Style" w:hAnsi="Bookman Old Style"/>
          <w:i/>
          <w:sz w:val="22"/>
          <w:szCs w:val="22"/>
          <w:lang w:val="es-ES"/>
        </w:rPr>
        <w:t>no indemnizar</w:t>
      </w:r>
      <w:r w:rsidR="008A1480">
        <w:rPr>
          <w:rFonts w:ascii="Bookman Old Style" w:hAnsi="Bookman Old Style"/>
          <w:sz w:val="22"/>
          <w:szCs w:val="22"/>
          <w:lang w:val="es-ES"/>
        </w:rPr>
        <w:t>:</w:t>
      </w:r>
      <w:r w:rsidR="00292AD7" w:rsidRPr="00B91E1C">
        <w:rPr>
          <w:rFonts w:ascii="Bookman Old Style" w:hAnsi="Bookman Old Style"/>
          <w:sz w:val="22"/>
          <w:szCs w:val="22"/>
          <w:lang w:val="es-ES"/>
        </w:rPr>
        <w:t xml:space="preserve"> </w:t>
      </w:r>
      <w:r w:rsidR="00101C2C" w:rsidRPr="00B91E1C">
        <w:rPr>
          <w:rFonts w:ascii="Bookman Old Style" w:hAnsi="Bookman Old Style" w:cs="Tahoma"/>
          <w:sz w:val="22"/>
          <w:szCs w:val="22"/>
          <w:lang w:val="es-ES"/>
        </w:rPr>
        <w:t>«</w:t>
      </w:r>
      <w:r w:rsidR="00D05DF8" w:rsidRPr="00B91E1C">
        <w:rPr>
          <w:rFonts w:ascii="Bookman Old Style" w:hAnsi="Bookman Old Style"/>
          <w:sz w:val="22"/>
          <w:szCs w:val="22"/>
          <w:lang w:val="es-ES"/>
        </w:rPr>
        <w:t>…</w:t>
      </w:r>
      <w:r w:rsidR="00D05DF8" w:rsidRPr="00B91E1C">
        <w:rPr>
          <w:rFonts w:ascii="Bookman Old Style" w:hAnsi="Bookman Old Style" w:cs="Arial"/>
          <w:bCs/>
          <w:sz w:val="22"/>
          <w:szCs w:val="22"/>
          <w:lang w:val="es-ES"/>
        </w:rPr>
        <w:t xml:space="preserve"> por consiguiente el demandante, de prosperarle sus pretensiones, sólo tendrá derecho al monto del enriquecimiento</w:t>
      </w:r>
      <w:r w:rsidR="00101C2C" w:rsidRPr="00B91E1C">
        <w:rPr>
          <w:rFonts w:ascii="Bookman Old Style" w:hAnsi="Bookman Old Style" w:cs="Tahoma"/>
          <w:sz w:val="22"/>
          <w:szCs w:val="22"/>
          <w:lang w:val="es-ES"/>
        </w:rPr>
        <w:t>»</w:t>
      </w:r>
      <w:r w:rsidR="00602AC2" w:rsidRPr="00101C2C">
        <w:rPr>
          <w:rFonts w:ascii="Bookman Old Style" w:hAnsi="Bookman Old Style"/>
          <w:sz w:val="22"/>
          <w:szCs w:val="22"/>
          <w:lang w:val="es-ES"/>
        </w:rPr>
        <w:t>.</w:t>
      </w:r>
      <w:r w:rsidR="00D05DF8" w:rsidRPr="00B91E1C">
        <w:rPr>
          <w:rFonts w:ascii="Bookman Old Style" w:hAnsi="Bookman Old Style"/>
          <w:sz w:val="22"/>
          <w:szCs w:val="22"/>
          <w:lang w:val="es-ES"/>
        </w:rPr>
        <w:t xml:space="preserve"> </w:t>
      </w:r>
    </w:p>
    <w:p w:rsidR="00292AD7" w:rsidRPr="00B91E1C" w:rsidRDefault="00292AD7" w:rsidP="007E54E0">
      <w:pPr>
        <w:spacing w:line="276" w:lineRule="auto"/>
        <w:jc w:val="both"/>
        <w:rPr>
          <w:rFonts w:ascii="Bookman Old Style" w:hAnsi="Bookman Old Style"/>
          <w:sz w:val="22"/>
          <w:szCs w:val="22"/>
          <w:lang w:val="es-ES"/>
        </w:rPr>
      </w:pPr>
    </w:p>
    <w:p w:rsidR="0043203B" w:rsidRPr="00B91E1C" w:rsidRDefault="0043203B" w:rsidP="007E54E0">
      <w:pPr>
        <w:spacing w:line="276" w:lineRule="auto"/>
        <w:jc w:val="both"/>
        <w:rPr>
          <w:rFonts w:ascii="Bookman Old Style" w:hAnsi="Bookman Old Style"/>
          <w:b/>
          <w:sz w:val="22"/>
          <w:szCs w:val="22"/>
          <w:lang w:val="es-ES"/>
        </w:rPr>
      </w:pPr>
      <w:r w:rsidRPr="00B91E1C">
        <w:rPr>
          <w:rFonts w:ascii="Bookman Old Style" w:hAnsi="Bookman Old Style"/>
          <w:b/>
          <w:sz w:val="22"/>
          <w:szCs w:val="22"/>
          <w:lang w:val="es-ES"/>
        </w:rPr>
        <w:t xml:space="preserve">2. </w:t>
      </w:r>
      <w:r w:rsidR="000A2B58" w:rsidRPr="00B91E1C">
        <w:rPr>
          <w:rFonts w:ascii="Bookman Old Style" w:hAnsi="Bookman Old Style"/>
          <w:b/>
          <w:sz w:val="22"/>
          <w:szCs w:val="22"/>
          <w:lang w:val="es-ES"/>
        </w:rPr>
        <w:t>Comentarios</w:t>
      </w:r>
      <w:r w:rsidR="006E2671" w:rsidRPr="00B91E1C">
        <w:rPr>
          <w:rFonts w:ascii="Bookman Old Style" w:hAnsi="Bookman Old Style"/>
          <w:b/>
          <w:sz w:val="22"/>
          <w:szCs w:val="22"/>
          <w:lang w:val="es-ES"/>
        </w:rPr>
        <w:t xml:space="preserve"> </w:t>
      </w:r>
      <w:r w:rsidR="000A2B58" w:rsidRPr="00B91E1C">
        <w:rPr>
          <w:rFonts w:ascii="Bookman Old Style" w:hAnsi="Bookman Old Style"/>
          <w:b/>
          <w:sz w:val="22"/>
          <w:szCs w:val="22"/>
          <w:lang w:val="es-ES"/>
        </w:rPr>
        <w:t xml:space="preserve">a las </w:t>
      </w:r>
      <w:r w:rsidR="00876288" w:rsidRPr="00B91E1C">
        <w:rPr>
          <w:rFonts w:ascii="Bookman Old Style" w:hAnsi="Bookman Old Style"/>
          <w:b/>
          <w:sz w:val="22"/>
          <w:szCs w:val="22"/>
          <w:lang w:val="es-ES"/>
        </w:rPr>
        <w:t xml:space="preserve">tesis </w:t>
      </w:r>
      <w:r w:rsidR="000A2B58" w:rsidRPr="00B91E1C">
        <w:rPr>
          <w:rFonts w:ascii="Bookman Old Style" w:hAnsi="Bookman Old Style"/>
          <w:b/>
          <w:sz w:val="22"/>
          <w:szCs w:val="22"/>
          <w:lang w:val="es-ES"/>
        </w:rPr>
        <w:t>de</w:t>
      </w:r>
      <w:r w:rsidR="00217785" w:rsidRPr="00B91E1C">
        <w:rPr>
          <w:rFonts w:ascii="Bookman Old Style" w:hAnsi="Bookman Old Style"/>
          <w:b/>
          <w:sz w:val="22"/>
          <w:szCs w:val="22"/>
          <w:lang w:val="es-ES"/>
        </w:rPr>
        <w:t xml:space="preserve"> esta providencia</w:t>
      </w:r>
    </w:p>
    <w:p w:rsidR="00CC65CE" w:rsidRPr="00B91E1C" w:rsidRDefault="00CC65CE" w:rsidP="007E54E0">
      <w:pPr>
        <w:spacing w:line="276" w:lineRule="auto"/>
        <w:jc w:val="both"/>
        <w:rPr>
          <w:rFonts w:ascii="Bookman Old Style" w:hAnsi="Bookman Old Style"/>
          <w:sz w:val="22"/>
          <w:szCs w:val="22"/>
          <w:lang w:val="es-ES"/>
        </w:rPr>
      </w:pPr>
    </w:p>
    <w:p w:rsidR="00902E40" w:rsidRPr="00382893" w:rsidRDefault="00902E40" w:rsidP="007E54E0">
      <w:pPr>
        <w:spacing w:line="276" w:lineRule="auto"/>
        <w:jc w:val="both"/>
        <w:rPr>
          <w:rFonts w:ascii="Bookman Old Style" w:hAnsi="Bookman Old Style"/>
          <w:sz w:val="22"/>
          <w:szCs w:val="22"/>
          <w:lang w:val="es-ES"/>
        </w:rPr>
      </w:pPr>
      <w:r w:rsidRPr="00B91E1C">
        <w:rPr>
          <w:rFonts w:ascii="Bookman Old Style" w:hAnsi="Bookman Old Style"/>
          <w:sz w:val="22"/>
          <w:szCs w:val="22"/>
          <w:lang w:val="es-ES"/>
        </w:rPr>
        <w:t xml:space="preserve">Los temas destacados de la providencia reflejan el valor que tiene, pero hay que desglosar algunos para </w:t>
      </w:r>
      <w:r w:rsidR="00114F4A" w:rsidRPr="00B91E1C">
        <w:rPr>
          <w:rFonts w:ascii="Bookman Old Style" w:hAnsi="Bookman Old Style"/>
          <w:sz w:val="22"/>
          <w:szCs w:val="22"/>
          <w:lang w:val="es-ES"/>
        </w:rPr>
        <w:t>estimar</w:t>
      </w:r>
      <w:r w:rsidRPr="00B91E1C">
        <w:rPr>
          <w:rFonts w:ascii="Bookman Old Style" w:hAnsi="Bookman Old Style"/>
          <w:sz w:val="22"/>
          <w:szCs w:val="22"/>
          <w:lang w:val="es-ES"/>
        </w:rPr>
        <w:t xml:space="preserve"> la validez de las opciones por las que se decantó, </w:t>
      </w:r>
      <w:r w:rsidRPr="00F548C4">
        <w:rPr>
          <w:rFonts w:ascii="Bookman Old Style" w:hAnsi="Bookman Old Style"/>
          <w:sz w:val="22"/>
          <w:szCs w:val="22"/>
          <w:lang w:val="es-ES"/>
        </w:rPr>
        <w:t xml:space="preserve">concretamente: i) </w:t>
      </w:r>
      <w:r w:rsidR="00BD2E1B">
        <w:rPr>
          <w:rFonts w:ascii="Bookman Old Style" w:hAnsi="Bookman Old Style"/>
          <w:sz w:val="22"/>
          <w:szCs w:val="22"/>
          <w:lang w:val="es-ES"/>
        </w:rPr>
        <w:t>los</w:t>
      </w:r>
      <w:r w:rsidR="00B55914" w:rsidRPr="00F548C4">
        <w:rPr>
          <w:rFonts w:ascii="Bookman Old Style" w:hAnsi="Bookman Old Style"/>
          <w:sz w:val="22"/>
          <w:szCs w:val="22"/>
          <w:lang w:val="es-ES"/>
        </w:rPr>
        <w:t xml:space="preserve"> aspectos </w:t>
      </w:r>
      <w:r w:rsidR="00B55914" w:rsidRPr="00BD2E1B">
        <w:rPr>
          <w:rFonts w:ascii="Bookman Old Style" w:hAnsi="Bookman Old Style"/>
          <w:sz w:val="22"/>
          <w:szCs w:val="22"/>
          <w:lang w:val="es-ES"/>
        </w:rPr>
        <w:t>procesales</w:t>
      </w:r>
      <w:r w:rsidR="00BD2E1B" w:rsidRPr="00BD2E1B">
        <w:rPr>
          <w:rFonts w:ascii="Bookman Old Style" w:hAnsi="Bookman Old Style"/>
          <w:sz w:val="22"/>
          <w:szCs w:val="22"/>
          <w:lang w:val="es-ES"/>
        </w:rPr>
        <w:t>,</w:t>
      </w:r>
      <w:r w:rsidR="00B55914" w:rsidRPr="00BD2E1B">
        <w:rPr>
          <w:rFonts w:ascii="Bookman Old Style" w:hAnsi="Bookman Old Style"/>
          <w:sz w:val="22"/>
          <w:szCs w:val="22"/>
          <w:lang w:val="es-ES"/>
        </w:rPr>
        <w:t xml:space="preserve"> que pasan desapercibidos,</w:t>
      </w:r>
      <w:r w:rsidRPr="00BD2E1B">
        <w:rPr>
          <w:rFonts w:ascii="Bookman Old Style" w:hAnsi="Bookman Old Style"/>
          <w:sz w:val="22"/>
          <w:szCs w:val="22"/>
          <w:lang w:val="es-ES"/>
        </w:rPr>
        <w:t xml:space="preserve"> ii) </w:t>
      </w:r>
      <w:r w:rsidR="00CB53C4">
        <w:rPr>
          <w:rFonts w:ascii="Bookman Old Style" w:hAnsi="Bookman Old Style"/>
          <w:sz w:val="22"/>
          <w:szCs w:val="22"/>
          <w:lang w:val="es-ES"/>
        </w:rPr>
        <w:t>la importancia de</w:t>
      </w:r>
      <w:r w:rsidR="00BD2E1B" w:rsidRPr="00BD2E1B">
        <w:rPr>
          <w:rFonts w:ascii="Bookman Old Style" w:hAnsi="Bookman Old Style"/>
          <w:sz w:val="22"/>
          <w:szCs w:val="22"/>
          <w:lang w:val="es-ES"/>
        </w:rPr>
        <w:t xml:space="preserve"> las normas imperativas en la configuración del enriquecimiento sin </w:t>
      </w:r>
      <w:r w:rsidR="00BD2E1B" w:rsidRPr="00BD2E1B">
        <w:rPr>
          <w:rFonts w:ascii="Bookman Old Style" w:hAnsi="Bookman Old Style"/>
          <w:sz w:val="22"/>
          <w:szCs w:val="22"/>
          <w:lang w:val="es-ES"/>
        </w:rPr>
        <w:lastRenderedPageBreak/>
        <w:t>causa,</w:t>
      </w:r>
      <w:r w:rsidRPr="00BD2E1B">
        <w:rPr>
          <w:rFonts w:ascii="Bookman Old Style" w:hAnsi="Bookman Old Style"/>
          <w:sz w:val="22"/>
          <w:szCs w:val="22"/>
          <w:lang w:val="es-ES"/>
        </w:rPr>
        <w:t xml:space="preserve"> </w:t>
      </w:r>
      <w:r w:rsidRPr="00382893">
        <w:rPr>
          <w:rFonts w:ascii="Bookman Old Style" w:hAnsi="Bookman Old Style"/>
          <w:sz w:val="22"/>
          <w:szCs w:val="22"/>
          <w:lang w:val="es-ES"/>
        </w:rPr>
        <w:t xml:space="preserve">iii) </w:t>
      </w:r>
      <w:r w:rsidR="00382893">
        <w:rPr>
          <w:rFonts w:ascii="Bookman Old Style" w:hAnsi="Bookman Old Style"/>
          <w:sz w:val="22"/>
          <w:szCs w:val="22"/>
          <w:lang w:val="es-ES"/>
        </w:rPr>
        <w:t xml:space="preserve">compensación o indemnización y iv) </w:t>
      </w:r>
      <w:r w:rsidR="00382893" w:rsidRPr="00382893">
        <w:rPr>
          <w:rFonts w:ascii="Bookman Old Style" w:hAnsi="Bookman Old Style"/>
          <w:i/>
          <w:sz w:val="22"/>
          <w:szCs w:val="22"/>
          <w:lang w:val="es-ES"/>
        </w:rPr>
        <w:t>actio in rem verso</w:t>
      </w:r>
      <w:r w:rsidR="00382893" w:rsidRPr="00382893">
        <w:rPr>
          <w:rFonts w:ascii="Bookman Old Style" w:hAnsi="Bookman Old Style"/>
          <w:sz w:val="22"/>
          <w:szCs w:val="22"/>
          <w:lang w:val="es-ES"/>
        </w:rPr>
        <w:t xml:space="preserve"> </w:t>
      </w:r>
      <w:r w:rsidR="00382893" w:rsidRPr="00382893">
        <w:rPr>
          <w:rFonts w:ascii="Bookman Old Style" w:hAnsi="Bookman Old Style"/>
          <w:sz w:val="22"/>
          <w:szCs w:val="22"/>
          <w:lang w:val="es-ES"/>
        </w:rPr>
        <w:t>o el medio de control de reparación directa</w:t>
      </w:r>
      <w:r w:rsidR="00382893">
        <w:rPr>
          <w:rFonts w:ascii="Bookman Old Style" w:hAnsi="Bookman Old Style"/>
          <w:sz w:val="22"/>
          <w:szCs w:val="22"/>
          <w:lang w:val="es-ES"/>
        </w:rPr>
        <w:t>.</w:t>
      </w:r>
    </w:p>
    <w:p w:rsidR="00902E40" w:rsidRPr="00B91E1C" w:rsidRDefault="00902E40" w:rsidP="007E54E0">
      <w:pPr>
        <w:spacing w:line="276" w:lineRule="auto"/>
        <w:jc w:val="both"/>
        <w:rPr>
          <w:rFonts w:ascii="Bookman Old Style" w:hAnsi="Bookman Old Style"/>
          <w:sz w:val="22"/>
          <w:szCs w:val="22"/>
          <w:lang w:val="es-ES"/>
        </w:rPr>
      </w:pPr>
    </w:p>
    <w:p w:rsidR="00B915E6" w:rsidRPr="00B91E1C" w:rsidRDefault="00902E40" w:rsidP="007E54E0">
      <w:pPr>
        <w:spacing w:line="276" w:lineRule="auto"/>
        <w:jc w:val="both"/>
        <w:rPr>
          <w:rFonts w:ascii="Bookman Old Style" w:hAnsi="Bookman Old Style"/>
          <w:b/>
          <w:i/>
          <w:sz w:val="22"/>
          <w:szCs w:val="22"/>
          <w:lang w:val="es-ES"/>
        </w:rPr>
      </w:pPr>
      <w:r w:rsidRPr="00B91E1C">
        <w:rPr>
          <w:rFonts w:ascii="Bookman Old Style" w:hAnsi="Bookman Old Style"/>
          <w:b/>
          <w:i/>
          <w:sz w:val="22"/>
          <w:szCs w:val="22"/>
          <w:lang w:val="es-ES"/>
        </w:rPr>
        <w:t xml:space="preserve">2.1. </w:t>
      </w:r>
      <w:r w:rsidR="00DE06D1" w:rsidRPr="00B91E1C">
        <w:rPr>
          <w:rFonts w:ascii="Bookman Old Style" w:hAnsi="Bookman Old Style"/>
          <w:b/>
          <w:i/>
          <w:sz w:val="22"/>
          <w:szCs w:val="22"/>
          <w:lang w:val="es-ES"/>
        </w:rPr>
        <w:t>Aspectos procesales del recurso de apelación</w:t>
      </w:r>
    </w:p>
    <w:p w:rsidR="00DE06D1" w:rsidRPr="00B91E1C" w:rsidRDefault="00DE06D1" w:rsidP="007E54E0">
      <w:pPr>
        <w:spacing w:line="276" w:lineRule="auto"/>
        <w:jc w:val="both"/>
        <w:rPr>
          <w:rFonts w:ascii="Bookman Old Style" w:hAnsi="Bookman Old Style"/>
          <w:sz w:val="22"/>
          <w:szCs w:val="22"/>
          <w:lang w:val="es-ES"/>
        </w:rPr>
      </w:pPr>
    </w:p>
    <w:p w:rsidR="00DE06D1" w:rsidRPr="00B91E1C" w:rsidRDefault="00DE06D1" w:rsidP="007E54E0">
      <w:pPr>
        <w:spacing w:line="276" w:lineRule="auto"/>
        <w:jc w:val="both"/>
        <w:rPr>
          <w:rFonts w:ascii="Bookman Old Style" w:hAnsi="Bookman Old Style"/>
          <w:bCs/>
          <w:iCs/>
          <w:sz w:val="22"/>
          <w:szCs w:val="22"/>
          <w:lang w:val="es-ES"/>
        </w:rPr>
      </w:pPr>
      <w:r w:rsidRPr="00B91E1C">
        <w:rPr>
          <w:rFonts w:ascii="Bookman Old Style" w:hAnsi="Bookman Old Style"/>
          <w:sz w:val="22"/>
          <w:szCs w:val="22"/>
          <w:lang w:val="es-ES"/>
        </w:rPr>
        <w:t xml:space="preserve">El primer aspecto </w:t>
      </w:r>
      <w:r w:rsidR="009E121C" w:rsidRPr="00B91E1C">
        <w:rPr>
          <w:rFonts w:ascii="Bookman Old Style" w:hAnsi="Bookman Old Style"/>
          <w:sz w:val="22"/>
          <w:szCs w:val="22"/>
          <w:lang w:val="es-ES"/>
        </w:rPr>
        <w:t xml:space="preserve">de </w:t>
      </w:r>
      <w:r w:rsidR="00F46AF9" w:rsidRPr="00B91E1C">
        <w:rPr>
          <w:rFonts w:ascii="Bookman Old Style" w:hAnsi="Bookman Old Style"/>
          <w:sz w:val="22"/>
          <w:szCs w:val="22"/>
          <w:lang w:val="es-ES"/>
        </w:rPr>
        <w:t>la</w:t>
      </w:r>
      <w:r w:rsidR="009E121C" w:rsidRPr="00B91E1C">
        <w:rPr>
          <w:rFonts w:ascii="Bookman Old Style" w:hAnsi="Bookman Old Style"/>
          <w:sz w:val="22"/>
          <w:szCs w:val="22"/>
          <w:lang w:val="es-ES"/>
        </w:rPr>
        <w:t xml:space="preserve"> providencia </w:t>
      </w:r>
      <w:r w:rsidRPr="00B91E1C">
        <w:rPr>
          <w:rFonts w:ascii="Bookman Old Style" w:hAnsi="Bookman Old Style"/>
          <w:sz w:val="22"/>
          <w:szCs w:val="22"/>
          <w:lang w:val="es-ES"/>
        </w:rPr>
        <w:t xml:space="preserve">que </w:t>
      </w:r>
      <w:r w:rsidR="009E121C" w:rsidRPr="00B91E1C">
        <w:rPr>
          <w:rFonts w:ascii="Bookman Old Style" w:hAnsi="Bookman Old Style"/>
          <w:sz w:val="22"/>
          <w:szCs w:val="22"/>
          <w:lang w:val="es-ES"/>
        </w:rPr>
        <w:t>reclama</w:t>
      </w:r>
      <w:r w:rsidRPr="00B91E1C">
        <w:rPr>
          <w:rFonts w:ascii="Bookman Old Style" w:hAnsi="Bookman Old Style"/>
          <w:sz w:val="22"/>
          <w:szCs w:val="22"/>
          <w:lang w:val="es-ES"/>
        </w:rPr>
        <w:t xml:space="preserve"> atención es que </w:t>
      </w:r>
      <w:r w:rsidR="00BC6E6E" w:rsidRPr="00B91E1C">
        <w:rPr>
          <w:rFonts w:ascii="Bookman Old Style" w:hAnsi="Bookman Old Style"/>
          <w:sz w:val="22"/>
          <w:szCs w:val="22"/>
          <w:lang w:val="es-ES"/>
        </w:rPr>
        <w:t xml:space="preserve">el recurso de apelación se apoyaba en dos razones de inconformidad: </w:t>
      </w:r>
      <w:r w:rsidR="00BC6E6E" w:rsidRPr="00B91E1C">
        <w:rPr>
          <w:rFonts w:ascii="Bookman Old Style" w:hAnsi="Bookman Old Style"/>
          <w:bCs/>
          <w:iCs/>
          <w:sz w:val="22"/>
          <w:szCs w:val="22"/>
          <w:lang w:val="es-ES"/>
        </w:rPr>
        <w:t xml:space="preserve">i) que al proceso se aportaron documentos en copia simple, y ii) que el </w:t>
      </w:r>
      <w:r w:rsidR="00BC6E6E" w:rsidRPr="00B91E1C">
        <w:rPr>
          <w:rFonts w:ascii="Bookman Old Style" w:hAnsi="Bookman Old Style"/>
          <w:bCs/>
          <w:i/>
          <w:iCs/>
          <w:sz w:val="22"/>
          <w:szCs w:val="22"/>
          <w:lang w:val="es-ES"/>
        </w:rPr>
        <w:t>a quo</w:t>
      </w:r>
      <w:r w:rsidR="00BC6E6E" w:rsidRPr="00B91E1C">
        <w:rPr>
          <w:rFonts w:ascii="Bookman Old Style" w:hAnsi="Bookman Old Style"/>
          <w:bCs/>
          <w:iCs/>
          <w:sz w:val="22"/>
          <w:szCs w:val="22"/>
          <w:lang w:val="es-ES"/>
        </w:rPr>
        <w:t xml:space="preserve"> adecuó la acción contractual que ejerció el demandante a la </w:t>
      </w:r>
      <w:r w:rsidR="00BC6E6E" w:rsidRPr="00B91E1C">
        <w:rPr>
          <w:rFonts w:ascii="Bookman Old Style" w:hAnsi="Bookman Old Style"/>
          <w:bCs/>
          <w:i/>
          <w:iCs/>
          <w:sz w:val="22"/>
          <w:szCs w:val="22"/>
          <w:lang w:val="es-ES"/>
        </w:rPr>
        <w:t>actio in rem verso</w:t>
      </w:r>
      <w:r w:rsidR="00BC6E6E" w:rsidRPr="00B91E1C">
        <w:rPr>
          <w:rFonts w:ascii="Bookman Old Style" w:hAnsi="Bookman Old Style"/>
          <w:bCs/>
          <w:iCs/>
          <w:sz w:val="22"/>
          <w:szCs w:val="22"/>
          <w:lang w:val="es-ES"/>
        </w:rPr>
        <w:t xml:space="preserve">, amparado en el principio </w:t>
      </w:r>
      <w:proofErr w:type="spellStart"/>
      <w:r w:rsidR="00BC6E6E" w:rsidRPr="00B91E1C">
        <w:rPr>
          <w:rFonts w:ascii="Bookman Old Style" w:hAnsi="Bookman Old Style"/>
          <w:bCs/>
          <w:i/>
          <w:iCs/>
          <w:sz w:val="22"/>
          <w:szCs w:val="22"/>
          <w:lang w:val="es-ES"/>
        </w:rPr>
        <w:t>iura</w:t>
      </w:r>
      <w:proofErr w:type="spellEnd"/>
      <w:r w:rsidR="00BC6E6E" w:rsidRPr="00B91E1C">
        <w:rPr>
          <w:rFonts w:ascii="Bookman Old Style" w:hAnsi="Bookman Old Style"/>
          <w:bCs/>
          <w:i/>
          <w:iCs/>
          <w:sz w:val="22"/>
          <w:szCs w:val="22"/>
          <w:lang w:val="es-ES"/>
        </w:rPr>
        <w:t xml:space="preserve"> novit curia, </w:t>
      </w:r>
      <w:r w:rsidR="00BC6E6E" w:rsidRPr="00B91E1C">
        <w:rPr>
          <w:rFonts w:ascii="Bookman Old Style" w:hAnsi="Bookman Old Style"/>
          <w:bCs/>
          <w:iCs/>
          <w:sz w:val="22"/>
          <w:szCs w:val="22"/>
          <w:lang w:val="es-ES"/>
        </w:rPr>
        <w:t xml:space="preserve">pero violando </w:t>
      </w:r>
      <w:r w:rsidR="00F46AF9" w:rsidRPr="00B91E1C">
        <w:rPr>
          <w:rFonts w:ascii="Bookman Old Style" w:hAnsi="Bookman Old Style"/>
          <w:bCs/>
          <w:iCs/>
          <w:sz w:val="22"/>
          <w:szCs w:val="22"/>
          <w:lang w:val="es-ES"/>
        </w:rPr>
        <w:t>el</w:t>
      </w:r>
      <w:r w:rsidR="00BC6E6E" w:rsidRPr="00B91E1C">
        <w:rPr>
          <w:rFonts w:ascii="Bookman Old Style" w:hAnsi="Bookman Old Style"/>
          <w:bCs/>
          <w:iCs/>
          <w:sz w:val="22"/>
          <w:szCs w:val="22"/>
          <w:lang w:val="es-ES"/>
        </w:rPr>
        <w:t xml:space="preserve"> derecho de defensa</w:t>
      </w:r>
      <w:r w:rsidR="00F46AF9" w:rsidRPr="00B91E1C">
        <w:rPr>
          <w:rFonts w:ascii="Bookman Old Style" w:hAnsi="Bookman Old Style"/>
          <w:bCs/>
          <w:iCs/>
          <w:sz w:val="22"/>
          <w:szCs w:val="22"/>
          <w:lang w:val="es-ES"/>
        </w:rPr>
        <w:t xml:space="preserve">. No obstante, </w:t>
      </w:r>
      <w:r w:rsidR="00BC6E6E" w:rsidRPr="00B91E1C">
        <w:rPr>
          <w:rFonts w:ascii="Bookman Old Style" w:hAnsi="Bookman Old Style"/>
          <w:bCs/>
          <w:iCs/>
          <w:sz w:val="22"/>
          <w:szCs w:val="22"/>
          <w:lang w:val="es-ES"/>
        </w:rPr>
        <w:t xml:space="preserve">ninguna fue analizada, </w:t>
      </w:r>
      <w:r w:rsidR="00C266D9">
        <w:rPr>
          <w:rFonts w:ascii="Bookman Old Style" w:hAnsi="Bookman Old Style"/>
          <w:bCs/>
          <w:iCs/>
          <w:sz w:val="22"/>
          <w:szCs w:val="22"/>
          <w:lang w:val="es-ES"/>
        </w:rPr>
        <w:t>cuando</w:t>
      </w:r>
      <w:r w:rsidR="00F46AF9" w:rsidRPr="00B91E1C">
        <w:rPr>
          <w:rFonts w:ascii="Bookman Old Style" w:hAnsi="Bookman Old Style"/>
          <w:bCs/>
          <w:iCs/>
          <w:sz w:val="22"/>
          <w:szCs w:val="22"/>
          <w:lang w:val="es-ES"/>
        </w:rPr>
        <w:t xml:space="preserve"> </w:t>
      </w:r>
      <w:r w:rsidR="00BC6E6E" w:rsidRPr="00B91E1C">
        <w:rPr>
          <w:rFonts w:ascii="Bookman Old Style" w:hAnsi="Bookman Old Style"/>
          <w:bCs/>
          <w:iCs/>
          <w:sz w:val="22"/>
          <w:szCs w:val="22"/>
          <w:lang w:val="es-ES"/>
        </w:rPr>
        <w:t xml:space="preserve">la competencia del juez de segunda instancia </w:t>
      </w:r>
      <w:r w:rsidR="00F46AF9" w:rsidRPr="00B91E1C">
        <w:rPr>
          <w:rFonts w:ascii="Bookman Old Style" w:hAnsi="Bookman Old Style"/>
          <w:bCs/>
          <w:iCs/>
          <w:sz w:val="22"/>
          <w:szCs w:val="22"/>
          <w:lang w:val="es-ES"/>
        </w:rPr>
        <w:t>procede d</w:t>
      </w:r>
      <w:r w:rsidR="00BC6E6E" w:rsidRPr="00B91E1C">
        <w:rPr>
          <w:rFonts w:ascii="Bookman Old Style" w:hAnsi="Bookman Old Style"/>
          <w:bCs/>
          <w:iCs/>
          <w:sz w:val="22"/>
          <w:szCs w:val="22"/>
          <w:lang w:val="es-ES"/>
        </w:rPr>
        <w:t>el recurso de apelación</w:t>
      </w:r>
      <w:r w:rsidR="00F46AF9" w:rsidRPr="00B91E1C">
        <w:rPr>
          <w:rFonts w:ascii="Bookman Old Style" w:hAnsi="Bookman Old Style"/>
          <w:bCs/>
          <w:iCs/>
          <w:sz w:val="22"/>
          <w:szCs w:val="22"/>
          <w:lang w:val="es-ES"/>
        </w:rPr>
        <w:t xml:space="preserve">, de allí que el </w:t>
      </w:r>
      <w:r w:rsidR="00F46AF9" w:rsidRPr="00B91E1C">
        <w:rPr>
          <w:rFonts w:ascii="Bookman Old Style" w:hAnsi="Bookman Old Style"/>
          <w:bCs/>
          <w:i/>
          <w:iCs/>
          <w:sz w:val="22"/>
          <w:szCs w:val="22"/>
          <w:lang w:val="es-ES"/>
        </w:rPr>
        <w:t>ad quem</w:t>
      </w:r>
      <w:r w:rsidR="00F46AF9" w:rsidRPr="00B91E1C">
        <w:rPr>
          <w:rFonts w:ascii="Bookman Old Style" w:hAnsi="Bookman Old Style"/>
          <w:bCs/>
          <w:iCs/>
          <w:sz w:val="22"/>
          <w:szCs w:val="22"/>
          <w:lang w:val="es-ES"/>
        </w:rPr>
        <w:t xml:space="preserve">, en principio, solo pueda pronunciarse sobre los argumentos del recurso, sin que pueda incluir otros, ni dejar de referirse </w:t>
      </w:r>
      <w:r w:rsidR="00C266D9">
        <w:rPr>
          <w:rFonts w:ascii="Bookman Old Style" w:hAnsi="Bookman Old Style"/>
          <w:bCs/>
          <w:iCs/>
          <w:sz w:val="22"/>
          <w:szCs w:val="22"/>
          <w:lang w:val="es-ES"/>
        </w:rPr>
        <w:t>a los propuestos</w:t>
      </w:r>
      <w:r w:rsidR="00F46AF9" w:rsidRPr="00B91E1C">
        <w:rPr>
          <w:rFonts w:ascii="Bookman Old Style" w:hAnsi="Bookman Old Style"/>
          <w:bCs/>
          <w:iCs/>
          <w:sz w:val="22"/>
          <w:szCs w:val="22"/>
          <w:lang w:val="es-ES"/>
        </w:rPr>
        <w:t>.</w:t>
      </w:r>
    </w:p>
    <w:p w:rsidR="00E11A36" w:rsidRPr="00B91E1C" w:rsidRDefault="00E11A36" w:rsidP="007E54E0">
      <w:pPr>
        <w:spacing w:line="276" w:lineRule="auto"/>
        <w:jc w:val="both"/>
        <w:rPr>
          <w:rFonts w:ascii="Bookman Old Style" w:hAnsi="Bookman Old Style"/>
          <w:bCs/>
          <w:iCs/>
          <w:sz w:val="22"/>
          <w:szCs w:val="22"/>
          <w:lang w:val="es-ES"/>
        </w:rPr>
      </w:pPr>
      <w:r w:rsidRPr="00B91E1C">
        <w:rPr>
          <w:rFonts w:ascii="Bookman Old Style" w:hAnsi="Bookman Old Style"/>
          <w:bCs/>
          <w:iCs/>
          <w:sz w:val="22"/>
          <w:szCs w:val="22"/>
          <w:lang w:val="es-ES"/>
        </w:rPr>
        <w:tab/>
      </w:r>
      <w:r w:rsidR="00D17266" w:rsidRPr="00B91E1C">
        <w:rPr>
          <w:rFonts w:ascii="Bookman Old Style" w:hAnsi="Bookman Old Style"/>
          <w:bCs/>
          <w:iCs/>
          <w:sz w:val="22"/>
          <w:szCs w:val="22"/>
          <w:lang w:val="es-ES"/>
        </w:rPr>
        <w:t xml:space="preserve">La anterior idea </w:t>
      </w:r>
      <w:r w:rsidR="00AB3346">
        <w:rPr>
          <w:rFonts w:ascii="Bookman Old Style" w:hAnsi="Bookman Old Style"/>
          <w:bCs/>
          <w:iCs/>
          <w:sz w:val="22"/>
          <w:szCs w:val="22"/>
          <w:lang w:val="es-ES"/>
        </w:rPr>
        <w:t>se</w:t>
      </w:r>
      <w:r w:rsidR="00BD42EF" w:rsidRPr="00B91E1C">
        <w:rPr>
          <w:rFonts w:ascii="Bookman Old Style" w:hAnsi="Bookman Old Style"/>
          <w:bCs/>
          <w:iCs/>
          <w:sz w:val="22"/>
          <w:szCs w:val="22"/>
          <w:lang w:val="es-ES"/>
        </w:rPr>
        <w:t xml:space="preserve"> </w:t>
      </w:r>
      <w:r w:rsidR="00AB3346" w:rsidRPr="00B91E1C">
        <w:rPr>
          <w:rFonts w:ascii="Bookman Old Style" w:hAnsi="Bookman Old Style"/>
          <w:bCs/>
          <w:iCs/>
          <w:sz w:val="22"/>
          <w:szCs w:val="22"/>
          <w:lang w:val="es-ES"/>
        </w:rPr>
        <w:t>sustent</w:t>
      </w:r>
      <w:r w:rsidR="00AB3346">
        <w:rPr>
          <w:rFonts w:ascii="Bookman Old Style" w:hAnsi="Bookman Old Style"/>
          <w:bCs/>
          <w:iCs/>
          <w:sz w:val="22"/>
          <w:szCs w:val="22"/>
          <w:lang w:val="es-ES"/>
        </w:rPr>
        <w:t>a</w:t>
      </w:r>
      <w:r w:rsidR="00BD42EF" w:rsidRPr="00B91E1C">
        <w:rPr>
          <w:rFonts w:ascii="Bookman Old Style" w:hAnsi="Bookman Old Style"/>
          <w:bCs/>
          <w:iCs/>
          <w:sz w:val="22"/>
          <w:szCs w:val="22"/>
          <w:lang w:val="es-ES"/>
        </w:rPr>
        <w:t xml:space="preserve"> en e</w:t>
      </w:r>
      <w:r w:rsidRPr="00B91E1C">
        <w:rPr>
          <w:rFonts w:ascii="Bookman Old Style" w:hAnsi="Bookman Old Style"/>
          <w:bCs/>
          <w:iCs/>
          <w:sz w:val="22"/>
          <w:szCs w:val="22"/>
          <w:lang w:val="es-ES"/>
        </w:rPr>
        <w:t>l art. 305 del C</w:t>
      </w:r>
      <w:r w:rsidR="0003428A" w:rsidRPr="00B91E1C">
        <w:rPr>
          <w:rFonts w:ascii="Bookman Old Style" w:hAnsi="Bookman Old Style"/>
          <w:bCs/>
          <w:iCs/>
          <w:sz w:val="22"/>
          <w:szCs w:val="22"/>
          <w:lang w:val="es-ES"/>
        </w:rPr>
        <w:t xml:space="preserve">ódigo de </w:t>
      </w:r>
      <w:r w:rsidRPr="00B91E1C">
        <w:rPr>
          <w:rFonts w:ascii="Bookman Old Style" w:hAnsi="Bookman Old Style"/>
          <w:bCs/>
          <w:iCs/>
          <w:sz w:val="22"/>
          <w:szCs w:val="22"/>
          <w:lang w:val="es-ES"/>
        </w:rPr>
        <w:t>P</w:t>
      </w:r>
      <w:r w:rsidR="0003428A" w:rsidRPr="00B91E1C">
        <w:rPr>
          <w:rFonts w:ascii="Bookman Old Style" w:hAnsi="Bookman Old Style"/>
          <w:bCs/>
          <w:iCs/>
          <w:sz w:val="22"/>
          <w:szCs w:val="22"/>
          <w:lang w:val="es-ES"/>
        </w:rPr>
        <w:t xml:space="preserve">rocedimiento </w:t>
      </w:r>
      <w:r w:rsidRPr="00B91E1C">
        <w:rPr>
          <w:rFonts w:ascii="Bookman Old Style" w:hAnsi="Bookman Old Style"/>
          <w:bCs/>
          <w:iCs/>
          <w:sz w:val="22"/>
          <w:szCs w:val="22"/>
          <w:lang w:val="es-ES"/>
        </w:rPr>
        <w:t>C</w:t>
      </w:r>
      <w:r w:rsidR="0003428A" w:rsidRPr="00B91E1C">
        <w:rPr>
          <w:rFonts w:ascii="Bookman Old Style" w:hAnsi="Bookman Old Style"/>
          <w:bCs/>
          <w:iCs/>
          <w:sz w:val="22"/>
          <w:szCs w:val="22"/>
          <w:lang w:val="es-ES"/>
        </w:rPr>
        <w:t>ivil</w:t>
      </w:r>
      <w:r w:rsidRPr="00B91E1C">
        <w:rPr>
          <w:rFonts w:ascii="Bookman Old Style" w:hAnsi="Bookman Old Style"/>
          <w:bCs/>
          <w:iCs/>
          <w:sz w:val="22"/>
          <w:szCs w:val="22"/>
          <w:lang w:val="es-ES"/>
        </w:rPr>
        <w:t xml:space="preserve"> –</w:t>
      </w:r>
      <w:r w:rsidR="0003428A" w:rsidRPr="00B91E1C">
        <w:rPr>
          <w:rFonts w:ascii="Bookman Old Style" w:hAnsi="Bookman Old Style"/>
          <w:bCs/>
          <w:iCs/>
          <w:sz w:val="22"/>
          <w:szCs w:val="22"/>
          <w:lang w:val="es-ES"/>
        </w:rPr>
        <w:t xml:space="preserve">estatuto </w:t>
      </w:r>
      <w:r w:rsidRPr="00B91E1C">
        <w:rPr>
          <w:rFonts w:ascii="Bookman Old Style" w:hAnsi="Bookman Old Style"/>
          <w:bCs/>
          <w:iCs/>
          <w:sz w:val="22"/>
          <w:szCs w:val="22"/>
          <w:lang w:val="es-ES"/>
        </w:rPr>
        <w:t xml:space="preserve">que aplicó a este </w:t>
      </w:r>
      <w:r w:rsidR="00D17266" w:rsidRPr="00B91E1C">
        <w:rPr>
          <w:rFonts w:ascii="Bookman Old Style" w:hAnsi="Bookman Old Style"/>
          <w:bCs/>
          <w:iCs/>
          <w:sz w:val="22"/>
          <w:szCs w:val="22"/>
          <w:lang w:val="es-ES"/>
        </w:rPr>
        <w:t>proceso</w:t>
      </w:r>
      <w:r w:rsidRPr="00B91E1C">
        <w:rPr>
          <w:rFonts w:ascii="Bookman Old Style" w:hAnsi="Bookman Old Style"/>
          <w:bCs/>
          <w:iCs/>
          <w:sz w:val="22"/>
          <w:szCs w:val="22"/>
          <w:lang w:val="es-ES"/>
        </w:rPr>
        <w:t>–</w:t>
      </w:r>
      <w:r w:rsidR="00BD42EF" w:rsidRPr="00B91E1C">
        <w:rPr>
          <w:rFonts w:ascii="Bookman Old Style" w:hAnsi="Bookman Old Style"/>
          <w:bCs/>
          <w:iCs/>
          <w:sz w:val="22"/>
          <w:szCs w:val="22"/>
          <w:lang w:val="es-ES"/>
        </w:rPr>
        <w:t xml:space="preserve">, porque </w:t>
      </w:r>
      <w:r w:rsidR="00714F62" w:rsidRPr="00B91E1C">
        <w:rPr>
          <w:rFonts w:ascii="Bookman Old Style" w:hAnsi="Bookman Old Style"/>
          <w:bCs/>
          <w:iCs/>
          <w:sz w:val="22"/>
          <w:szCs w:val="22"/>
          <w:lang w:val="es-ES"/>
        </w:rPr>
        <w:t>dispone que el juez debe pronunciar</w:t>
      </w:r>
      <w:r w:rsidR="00BD42EF" w:rsidRPr="00B91E1C">
        <w:rPr>
          <w:rFonts w:ascii="Bookman Old Style" w:hAnsi="Bookman Old Style"/>
          <w:bCs/>
          <w:iCs/>
          <w:sz w:val="22"/>
          <w:szCs w:val="22"/>
          <w:lang w:val="es-ES"/>
        </w:rPr>
        <w:t>se</w:t>
      </w:r>
      <w:r w:rsidR="00714F62" w:rsidRPr="00B91E1C">
        <w:rPr>
          <w:rFonts w:ascii="Bookman Old Style" w:hAnsi="Bookman Old Style"/>
          <w:bCs/>
          <w:iCs/>
          <w:sz w:val="22"/>
          <w:szCs w:val="22"/>
          <w:lang w:val="es-ES"/>
        </w:rPr>
        <w:t xml:space="preserve"> sobre los hechos de la demanda y sus pretensiones</w:t>
      </w:r>
      <w:r w:rsidR="00BD42EF" w:rsidRPr="00B91E1C">
        <w:rPr>
          <w:rFonts w:ascii="Bookman Old Style" w:hAnsi="Bookman Old Style"/>
          <w:bCs/>
          <w:iCs/>
          <w:sz w:val="22"/>
          <w:szCs w:val="22"/>
          <w:lang w:val="es-ES"/>
        </w:rPr>
        <w:t>,</w:t>
      </w:r>
      <w:r w:rsidR="00714F62" w:rsidRPr="00B91E1C">
        <w:rPr>
          <w:rFonts w:ascii="Bookman Old Style" w:hAnsi="Bookman Old Style"/>
          <w:bCs/>
          <w:iCs/>
          <w:sz w:val="22"/>
          <w:szCs w:val="22"/>
          <w:lang w:val="es-ES"/>
        </w:rPr>
        <w:t xml:space="preserve"> y sobre las excepciones propuestas por el demandado.</w:t>
      </w:r>
      <w:r w:rsidR="00BD42EF" w:rsidRPr="00B91E1C">
        <w:rPr>
          <w:rFonts w:ascii="Bookman Old Style" w:hAnsi="Bookman Old Style"/>
          <w:bCs/>
          <w:iCs/>
          <w:sz w:val="22"/>
          <w:szCs w:val="22"/>
          <w:lang w:val="es-ES"/>
        </w:rPr>
        <w:t xml:space="preserve"> </w:t>
      </w:r>
      <w:r w:rsidR="00B749FD">
        <w:rPr>
          <w:rFonts w:ascii="Bookman Old Style" w:hAnsi="Bookman Old Style"/>
          <w:bCs/>
          <w:iCs/>
          <w:sz w:val="22"/>
          <w:szCs w:val="22"/>
          <w:lang w:val="es-ES"/>
        </w:rPr>
        <w:t xml:space="preserve">Pero, sobre todo, </w:t>
      </w:r>
      <w:r w:rsidR="00BD42EF" w:rsidRPr="00B91E1C">
        <w:rPr>
          <w:rFonts w:ascii="Bookman Old Style" w:hAnsi="Bookman Old Style"/>
          <w:bCs/>
          <w:iCs/>
          <w:sz w:val="22"/>
          <w:szCs w:val="22"/>
          <w:lang w:val="es-ES"/>
        </w:rPr>
        <w:t xml:space="preserve">el art. 357 del </w:t>
      </w:r>
      <w:r w:rsidR="0003428A" w:rsidRPr="00B91E1C">
        <w:rPr>
          <w:rFonts w:ascii="Bookman Old Style" w:hAnsi="Bookman Old Style"/>
          <w:bCs/>
          <w:iCs/>
          <w:sz w:val="22"/>
          <w:szCs w:val="22"/>
          <w:lang w:val="es-ES"/>
        </w:rPr>
        <w:t>mismo código</w:t>
      </w:r>
      <w:r w:rsidR="00BD42EF" w:rsidRPr="00B91E1C">
        <w:rPr>
          <w:rFonts w:ascii="Bookman Old Style" w:hAnsi="Bookman Old Style"/>
          <w:bCs/>
          <w:iCs/>
          <w:sz w:val="22"/>
          <w:szCs w:val="22"/>
          <w:lang w:val="es-ES"/>
        </w:rPr>
        <w:t xml:space="preserve"> dispone que la competencia del superior, cuando se apela una sentencia, se restringe a lo alegado, así que </w:t>
      </w:r>
      <w:r w:rsidR="00101C2C" w:rsidRPr="00B91E1C">
        <w:rPr>
          <w:rFonts w:ascii="Bookman Old Style" w:hAnsi="Bookman Old Style" w:cs="Tahoma"/>
          <w:sz w:val="22"/>
          <w:szCs w:val="22"/>
          <w:lang w:val="es-ES"/>
        </w:rPr>
        <w:t>«</w:t>
      </w:r>
      <w:r w:rsidR="00BD42EF" w:rsidRPr="00B91E1C">
        <w:rPr>
          <w:rFonts w:ascii="Bookman Old Style" w:hAnsi="Bookman Old Style"/>
          <w:bCs/>
          <w:iCs/>
          <w:sz w:val="22"/>
          <w:szCs w:val="22"/>
          <w:lang w:val="es-ES"/>
        </w:rPr>
        <w:t>… el superior no podrá enmendar la providencia en la parte que no fue objeto del recurso…</w:t>
      </w:r>
      <w:r w:rsidR="00101C2C" w:rsidRPr="00B91E1C">
        <w:rPr>
          <w:rFonts w:ascii="Bookman Old Style" w:hAnsi="Bookman Old Style" w:cs="Tahoma"/>
          <w:sz w:val="22"/>
          <w:szCs w:val="22"/>
          <w:lang w:val="es-ES"/>
        </w:rPr>
        <w:t>»</w:t>
      </w:r>
      <w:r w:rsidR="00BD42EF" w:rsidRPr="00B91E1C">
        <w:rPr>
          <w:rFonts w:ascii="Bookman Old Style" w:hAnsi="Bookman Old Style"/>
          <w:bCs/>
          <w:iCs/>
          <w:sz w:val="22"/>
          <w:szCs w:val="22"/>
          <w:lang w:val="es-ES"/>
        </w:rPr>
        <w:t>.</w:t>
      </w:r>
    </w:p>
    <w:p w:rsidR="00BD42EF" w:rsidRPr="00B91E1C" w:rsidRDefault="00BC6E6E" w:rsidP="007E54E0">
      <w:pPr>
        <w:spacing w:line="276" w:lineRule="auto"/>
        <w:jc w:val="both"/>
        <w:rPr>
          <w:rFonts w:ascii="Bookman Old Style" w:hAnsi="Bookman Old Style"/>
          <w:bCs/>
          <w:iCs/>
          <w:sz w:val="22"/>
          <w:szCs w:val="22"/>
          <w:lang w:val="es-ES"/>
        </w:rPr>
      </w:pPr>
      <w:r w:rsidRPr="00B91E1C">
        <w:rPr>
          <w:rFonts w:ascii="Bookman Old Style" w:hAnsi="Bookman Old Style"/>
          <w:bCs/>
          <w:iCs/>
          <w:sz w:val="22"/>
          <w:szCs w:val="22"/>
          <w:lang w:val="es-ES"/>
        </w:rPr>
        <w:tab/>
      </w:r>
      <w:r w:rsidR="005868A0" w:rsidRPr="00B91E1C">
        <w:rPr>
          <w:rFonts w:ascii="Bookman Old Style" w:hAnsi="Bookman Old Style"/>
          <w:bCs/>
          <w:iCs/>
          <w:sz w:val="22"/>
          <w:szCs w:val="22"/>
          <w:lang w:val="es-ES"/>
        </w:rPr>
        <w:t xml:space="preserve">La excepción a la anterior premisa consiste en que </w:t>
      </w:r>
      <w:r w:rsidRPr="00B91E1C">
        <w:rPr>
          <w:rFonts w:ascii="Bookman Old Style" w:hAnsi="Bookman Old Style"/>
          <w:bCs/>
          <w:iCs/>
          <w:sz w:val="22"/>
          <w:szCs w:val="22"/>
          <w:lang w:val="es-ES"/>
        </w:rPr>
        <w:t xml:space="preserve">el </w:t>
      </w:r>
      <w:r w:rsidRPr="00B91E1C">
        <w:rPr>
          <w:rFonts w:ascii="Bookman Old Style" w:hAnsi="Bookman Old Style"/>
          <w:bCs/>
          <w:i/>
          <w:iCs/>
          <w:sz w:val="22"/>
          <w:szCs w:val="22"/>
          <w:lang w:val="es-ES"/>
        </w:rPr>
        <w:t>ad quem</w:t>
      </w:r>
      <w:r w:rsidRPr="00B91E1C">
        <w:rPr>
          <w:rFonts w:ascii="Bookman Old Style" w:hAnsi="Bookman Old Style"/>
          <w:bCs/>
          <w:iCs/>
          <w:sz w:val="22"/>
          <w:szCs w:val="22"/>
          <w:lang w:val="es-ES"/>
        </w:rPr>
        <w:t xml:space="preserve"> puede decretar</w:t>
      </w:r>
      <w:r w:rsidR="008B6792" w:rsidRPr="00B91E1C">
        <w:rPr>
          <w:rFonts w:ascii="Bookman Old Style" w:hAnsi="Bookman Old Style"/>
          <w:bCs/>
          <w:iCs/>
          <w:sz w:val="22"/>
          <w:szCs w:val="22"/>
          <w:lang w:val="es-ES"/>
        </w:rPr>
        <w:t>,</w:t>
      </w:r>
      <w:r w:rsidRPr="00B91E1C">
        <w:rPr>
          <w:rFonts w:ascii="Bookman Old Style" w:hAnsi="Bookman Old Style"/>
          <w:bCs/>
          <w:iCs/>
          <w:sz w:val="22"/>
          <w:szCs w:val="22"/>
          <w:lang w:val="es-ES"/>
        </w:rPr>
        <w:t xml:space="preserve"> de oficio</w:t>
      </w:r>
      <w:r w:rsidR="008B6792" w:rsidRPr="00B91E1C">
        <w:rPr>
          <w:rFonts w:ascii="Bookman Old Style" w:hAnsi="Bookman Old Style"/>
          <w:bCs/>
          <w:iCs/>
          <w:sz w:val="22"/>
          <w:szCs w:val="22"/>
          <w:lang w:val="es-ES"/>
        </w:rPr>
        <w:t>,</w:t>
      </w:r>
      <w:r w:rsidRPr="00B91E1C">
        <w:rPr>
          <w:rFonts w:ascii="Bookman Old Style" w:hAnsi="Bookman Old Style"/>
          <w:bCs/>
          <w:iCs/>
          <w:sz w:val="22"/>
          <w:szCs w:val="22"/>
          <w:lang w:val="es-ES"/>
        </w:rPr>
        <w:t xml:space="preserve"> exc</w:t>
      </w:r>
      <w:r w:rsidR="007B0B27" w:rsidRPr="00B91E1C">
        <w:rPr>
          <w:rFonts w:ascii="Bookman Old Style" w:hAnsi="Bookman Old Style"/>
          <w:bCs/>
          <w:iCs/>
          <w:sz w:val="22"/>
          <w:szCs w:val="22"/>
          <w:lang w:val="es-ES"/>
        </w:rPr>
        <w:t>e</w:t>
      </w:r>
      <w:r w:rsidRPr="00B91E1C">
        <w:rPr>
          <w:rFonts w:ascii="Bookman Old Style" w:hAnsi="Bookman Old Style"/>
          <w:bCs/>
          <w:iCs/>
          <w:sz w:val="22"/>
          <w:szCs w:val="22"/>
          <w:lang w:val="es-ES"/>
        </w:rPr>
        <w:t xml:space="preserve">pciones no declaradas por el </w:t>
      </w:r>
      <w:r w:rsidRPr="00B91E1C">
        <w:rPr>
          <w:rFonts w:ascii="Bookman Old Style" w:hAnsi="Bookman Old Style"/>
          <w:bCs/>
          <w:i/>
          <w:iCs/>
          <w:sz w:val="22"/>
          <w:szCs w:val="22"/>
          <w:lang w:val="es-ES"/>
        </w:rPr>
        <w:t>a quo</w:t>
      </w:r>
      <w:r w:rsidR="007B0B27" w:rsidRPr="00B91E1C">
        <w:rPr>
          <w:rFonts w:ascii="Bookman Old Style" w:hAnsi="Bookman Old Style"/>
          <w:bCs/>
          <w:i/>
          <w:iCs/>
          <w:sz w:val="22"/>
          <w:szCs w:val="22"/>
          <w:lang w:val="es-ES"/>
        </w:rPr>
        <w:t xml:space="preserve"> </w:t>
      </w:r>
      <w:r w:rsidR="007B0B27" w:rsidRPr="00B91E1C">
        <w:rPr>
          <w:rFonts w:ascii="Bookman Old Style" w:hAnsi="Bookman Old Style"/>
          <w:bCs/>
          <w:iCs/>
          <w:sz w:val="22"/>
          <w:szCs w:val="22"/>
          <w:lang w:val="es-ES"/>
        </w:rPr>
        <w:t>–art. 306 del CPC–</w:t>
      </w:r>
      <w:r w:rsidRPr="00B91E1C">
        <w:rPr>
          <w:rFonts w:ascii="Bookman Old Style" w:hAnsi="Bookman Old Style"/>
          <w:bCs/>
          <w:iCs/>
          <w:sz w:val="22"/>
          <w:szCs w:val="22"/>
          <w:lang w:val="es-ES"/>
        </w:rPr>
        <w:t>, siemp</w:t>
      </w:r>
      <w:r w:rsidR="007B0B27" w:rsidRPr="00B91E1C">
        <w:rPr>
          <w:rFonts w:ascii="Bookman Old Style" w:hAnsi="Bookman Old Style"/>
          <w:bCs/>
          <w:iCs/>
          <w:sz w:val="22"/>
          <w:szCs w:val="22"/>
          <w:lang w:val="es-ES"/>
        </w:rPr>
        <w:t>r</w:t>
      </w:r>
      <w:r w:rsidRPr="00B91E1C">
        <w:rPr>
          <w:rFonts w:ascii="Bookman Old Style" w:hAnsi="Bookman Old Style"/>
          <w:bCs/>
          <w:iCs/>
          <w:sz w:val="22"/>
          <w:szCs w:val="22"/>
          <w:lang w:val="es-ES"/>
        </w:rPr>
        <w:t>e que no afecte el</w:t>
      </w:r>
      <w:r w:rsidR="007B0B27" w:rsidRPr="00B91E1C">
        <w:rPr>
          <w:rFonts w:ascii="Bookman Old Style" w:hAnsi="Bookman Old Style"/>
          <w:bCs/>
          <w:iCs/>
          <w:sz w:val="22"/>
          <w:szCs w:val="22"/>
          <w:lang w:val="es-ES"/>
        </w:rPr>
        <w:t xml:space="preserve"> derecho a la </w:t>
      </w:r>
      <w:r w:rsidR="007B0B27" w:rsidRPr="00B91E1C">
        <w:rPr>
          <w:rFonts w:ascii="Bookman Old Style" w:hAnsi="Bookman Old Style"/>
          <w:bCs/>
          <w:i/>
          <w:iCs/>
          <w:sz w:val="22"/>
          <w:szCs w:val="22"/>
          <w:lang w:val="es-ES"/>
        </w:rPr>
        <w:t xml:space="preserve">no reformatio in </w:t>
      </w:r>
      <w:proofErr w:type="spellStart"/>
      <w:r w:rsidR="007B0B27" w:rsidRPr="00B91E1C">
        <w:rPr>
          <w:rFonts w:ascii="Bookman Old Style" w:hAnsi="Bookman Old Style"/>
          <w:bCs/>
          <w:i/>
          <w:iCs/>
          <w:sz w:val="22"/>
          <w:szCs w:val="22"/>
          <w:lang w:val="es-ES"/>
        </w:rPr>
        <w:t>pejus</w:t>
      </w:r>
      <w:proofErr w:type="spellEnd"/>
      <w:r w:rsidR="007B0B27" w:rsidRPr="00B91E1C">
        <w:rPr>
          <w:rFonts w:ascii="Bookman Old Style" w:hAnsi="Bookman Old Style"/>
          <w:bCs/>
          <w:i/>
          <w:iCs/>
          <w:sz w:val="22"/>
          <w:szCs w:val="22"/>
          <w:lang w:val="es-ES"/>
        </w:rPr>
        <w:t xml:space="preserve"> </w:t>
      </w:r>
      <w:r w:rsidR="007B0B27" w:rsidRPr="00B91E1C">
        <w:rPr>
          <w:rFonts w:ascii="Bookman Old Style" w:hAnsi="Bookman Old Style"/>
          <w:bCs/>
          <w:iCs/>
          <w:sz w:val="22"/>
          <w:szCs w:val="22"/>
          <w:lang w:val="es-ES"/>
        </w:rPr>
        <w:t>–art. 164 del C</w:t>
      </w:r>
      <w:r w:rsidR="008B6792" w:rsidRPr="00B91E1C">
        <w:rPr>
          <w:rFonts w:ascii="Bookman Old Style" w:hAnsi="Bookman Old Style"/>
          <w:bCs/>
          <w:iCs/>
          <w:sz w:val="22"/>
          <w:szCs w:val="22"/>
          <w:lang w:val="es-ES"/>
        </w:rPr>
        <w:t xml:space="preserve">ódigo </w:t>
      </w:r>
      <w:r w:rsidR="007B0B27" w:rsidRPr="00B91E1C">
        <w:rPr>
          <w:rFonts w:ascii="Bookman Old Style" w:hAnsi="Bookman Old Style"/>
          <w:bCs/>
          <w:iCs/>
          <w:sz w:val="22"/>
          <w:szCs w:val="22"/>
          <w:lang w:val="es-ES"/>
        </w:rPr>
        <w:t>C</w:t>
      </w:r>
      <w:r w:rsidR="008B6792" w:rsidRPr="00B91E1C">
        <w:rPr>
          <w:rFonts w:ascii="Bookman Old Style" w:hAnsi="Bookman Old Style"/>
          <w:bCs/>
          <w:iCs/>
          <w:sz w:val="22"/>
          <w:szCs w:val="22"/>
          <w:lang w:val="es-ES"/>
        </w:rPr>
        <w:t xml:space="preserve">ontencioso </w:t>
      </w:r>
      <w:r w:rsidR="007B0B27" w:rsidRPr="00B91E1C">
        <w:rPr>
          <w:rFonts w:ascii="Bookman Old Style" w:hAnsi="Bookman Old Style"/>
          <w:bCs/>
          <w:iCs/>
          <w:sz w:val="22"/>
          <w:szCs w:val="22"/>
          <w:lang w:val="es-ES"/>
        </w:rPr>
        <w:t>A</w:t>
      </w:r>
      <w:r w:rsidR="008B6792" w:rsidRPr="00B91E1C">
        <w:rPr>
          <w:rFonts w:ascii="Bookman Old Style" w:hAnsi="Bookman Old Style"/>
          <w:bCs/>
          <w:iCs/>
          <w:sz w:val="22"/>
          <w:szCs w:val="22"/>
          <w:lang w:val="es-ES"/>
        </w:rPr>
        <w:t>dministrativo</w:t>
      </w:r>
      <w:r w:rsidR="007B0B27" w:rsidRPr="00B91E1C">
        <w:rPr>
          <w:rFonts w:ascii="Bookman Old Style" w:hAnsi="Bookman Old Style"/>
          <w:bCs/>
          <w:iCs/>
          <w:sz w:val="22"/>
          <w:szCs w:val="22"/>
          <w:lang w:val="es-ES"/>
        </w:rPr>
        <w:t xml:space="preserve">, norma que </w:t>
      </w:r>
      <w:r w:rsidR="008B6792" w:rsidRPr="00B91E1C">
        <w:rPr>
          <w:rFonts w:ascii="Bookman Old Style" w:hAnsi="Bookman Old Style"/>
          <w:bCs/>
          <w:iCs/>
          <w:sz w:val="22"/>
          <w:szCs w:val="22"/>
          <w:lang w:val="es-ES"/>
        </w:rPr>
        <w:t xml:space="preserve">también </w:t>
      </w:r>
      <w:r w:rsidR="007B0B27" w:rsidRPr="00B91E1C">
        <w:rPr>
          <w:rFonts w:ascii="Bookman Old Style" w:hAnsi="Bookman Old Style"/>
          <w:bCs/>
          <w:iCs/>
          <w:sz w:val="22"/>
          <w:szCs w:val="22"/>
          <w:lang w:val="es-ES"/>
        </w:rPr>
        <w:t xml:space="preserve">aplicó a este caso–, </w:t>
      </w:r>
      <w:r w:rsidR="005868A0" w:rsidRPr="00B91E1C">
        <w:rPr>
          <w:rFonts w:ascii="Bookman Old Style" w:hAnsi="Bookman Old Style"/>
          <w:bCs/>
          <w:iCs/>
          <w:sz w:val="22"/>
          <w:szCs w:val="22"/>
          <w:lang w:val="es-ES"/>
        </w:rPr>
        <w:t xml:space="preserve">lo que en el caso concreto </w:t>
      </w:r>
      <w:r w:rsidR="007B0B27" w:rsidRPr="00B91E1C">
        <w:rPr>
          <w:rFonts w:ascii="Bookman Old Style" w:hAnsi="Bookman Old Style"/>
          <w:bCs/>
          <w:iCs/>
          <w:sz w:val="22"/>
          <w:szCs w:val="22"/>
          <w:lang w:val="es-ES"/>
        </w:rPr>
        <w:t>sin duda no afectó al apelante</w:t>
      </w:r>
      <w:r w:rsidR="005868A0" w:rsidRPr="00B91E1C">
        <w:rPr>
          <w:rFonts w:ascii="Bookman Old Style" w:hAnsi="Bookman Old Style"/>
          <w:bCs/>
          <w:iCs/>
          <w:sz w:val="22"/>
          <w:szCs w:val="22"/>
          <w:lang w:val="es-ES"/>
        </w:rPr>
        <w:t>,</w:t>
      </w:r>
      <w:r w:rsidR="007B0B27" w:rsidRPr="00B91E1C">
        <w:rPr>
          <w:rFonts w:ascii="Bookman Old Style" w:hAnsi="Bookman Old Style"/>
          <w:bCs/>
          <w:iCs/>
          <w:sz w:val="22"/>
          <w:szCs w:val="22"/>
          <w:lang w:val="es-ES"/>
        </w:rPr>
        <w:t xml:space="preserve"> pues se revocó la decisión que lo condenaba. </w:t>
      </w:r>
    </w:p>
    <w:p w:rsidR="00BC6E6E" w:rsidRPr="00B91E1C" w:rsidRDefault="007B0B27" w:rsidP="007E54E0">
      <w:pPr>
        <w:spacing w:line="276" w:lineRule="auto"/>
        <w:ind w:firstLine="708"/>
        <w:jc w:val="both"/>
        <w:rPr>
          <w:rFonts w:ascii="Bookman Old Style" w:hAnsi="Bookman Old Style"/>
          <w:bCs/>
          <w:iCs/>
          <w:sz w:val="22"/>
          <w:szCs w:val="22"/>
          <w:lang w:val="es-ES"/>
        </w:rPr>
      </w:pPr>
      <w:r w:rsidRPr="00B91E1C">
        <w:rPr>
          <w:rFonts w:ascii="Bookman Old Style" w:hAnsi="Bookman Old Style"/>
          <w:bCs/>
          <w:iCs/>
          <w:sz w:val="22"/>
          <w:szCs w:val="22"/>
          <w:lang w:val="es-ES"/>
        </w:rPr>
        <w:t xml:space="preserve">Sin embargo, el problema procesal </w:t>
      </w:r>
      <w:r w:rsidR="00455964" w:rsidRPr="00B91E1C">
        <w:rPr>
          <w:rFonts w:ascii="Bookman Old Style" w:hAnsi="Bookman Old Style"/>
          <w:bCs/>
          <w:iCs/>
          <w:sz w:val="22"/>
          <w:szCs w:val="22"/>
          <w:lang w:val="es-ES"/>
        </w:rPr>
        <w:t xml:space="preserve">que se advierte </w:t>
      </w:r>
      <w:r w:rsidRPr="00B91E1C">
        <w:rPr>
          <w:rFonts w:ascii="Bookman Old Style" w:hAnsi="Bookman Old Style"/>
          <w:bCs/>
          <w:iCs/>
          <w:sz w:val="22"/>
          <w:szCs w:val="22"/>
          <w:lang w:val="es-ES"/>
        </w:rPr>
        <w:t xml:space="preserve">radica en otro aspecto: la decisión de revocar la condena no se apoyó </w:t>
      </w:r>
      <w:r w:rsidR="004911DF">
        <w:rPr>
          <w:rFonts w:ascii="Bookman Old Style" w:hAnsi="Bookman Old Style"/>
          <w:bCs/>
          <w:iCs/>
          <w:sz w:val="22"/>
          <w:szCs w:val="22"/>
          <w:lang w:val="es-ES"/>
        </w:rPr>
        <w:t xml:space="preserve">en los argumentos del apelante ni </w:t>
      </w:r>
      <w:r w:rsidRPr="00B91E1C">
        <w:rPr>
          <w:rFonts w:ascii="Bookman Old Style" w:hAnsi="Bookman Old Style"/>
          <w:bCs/>
          <w:iCs/>
          <w:sz w:val="22"/>
          <w:szCs w:val="22"/>
          <w:lang w:val="es-ES"/>
        </w:rPr>
        <w:t>en la prosperidad de una excepción de fondo –pago, compensación, novación, caducidad, etc.– sino en un aspecto sustantivo del debate sobre el derecho o no al pago del valor de las obras ejecutadas sin contrato, alegato que solo puede incorporar la parte y no el juez, pues en tal evento está litigando y no juzgando los argumentos de las partes.</w:t>
      </w:r>
    </w:p>
    <w:p w:rsidR="00BC6E6E" w:rsidRPr="00B91E1C" w:rsidRDefault="00BC6E6E" w:rsidP="007E54E0">
      <w:pPr>
        <w:spacing w:line="276" w:lineRule="auto"/>
        <w:jc w:val="both"/>
        <w:rPr>
          <w:rFonts w:ascii="Bookman Old Style" w:hAnsi="Bookman Old Style"/>
          <w:bCs/>
          <w:iCs/>
          <w:sz w:val="22"/>
          <w:szCs w:val="22"/>
          <w:lang w:val="es-ES"/>
        </w:rPr>
      </w:pPr>
      <w:r w:rsidRPr="00B91E1C">
        <w:rPr>
          <w:rFonts w:ascii="Bookman Old Style" w:hAnsi="Bookman Old Style"/>
          <w:bCs/>
          <w:iCs/>
          <w:sz w:val="22"/>
          <w:szCs w:val="22"/>
          <w:lang w:val="es-ES"/>
        </w:rPr>
        <w:tab/>
        <w:t xml:space="preserve">Este </w:t>
      </w:r>
      <w:r w:rsidR="00202F3A" w:rsidRPr="00B91E1C">
        <w:rPr>
          <w:rFonts w:ascii="Bookman Old Style" w:hAnsi="Bookman Old Style"/>
          <w:bCs/>
          <w:iCs/>
          <w:sz w:val="22"/>
          <w:szCs w:val="22"/>
          <w:lang w:val="es-ES"/>
        </w:rPr>
        <w:t>vicio</w:t>
      </w:r>
      <w:r w:rsidRPr="00B91E1C">
        <w:rPr>
          <w:rFonts w:ascii="Bookman Old Style" w:hAnsi="Bookman Old Style"/>
          <w:bCs/>
          <w:iCs/>
          <w:sz w:val="22"/>
          <w:szCs w:val="22"/>
          <w:lang w:val="es-ES"/>
        </w:rPr>
        <w:t xml:space="preserve"> hacía incurrir a la decisión </w:t>
      </w:r>
      <w:r w:rsidR="00202F3A" w:rsidRPr="00B91E1C">
        <w:rPr>
          <w:rFonts w:ascii="Bookman Old Style" w:hAnsi="Bookman Old Style"/>
          <w:bCs/>
          <w:iCs/>
          <w:sz w:val="22"/>
          <w:szCs w:val="22"/>
          <w:lang w:val="es-ES"/>
        </w:rPr>
        <w:t xml:space="preserve">tanto </w:t>
      </w:r>
      <w:r w:rsidRPr="00B91E1C">
        <w:rPr>
          <w:rFonts w:ascii="Bookman Old Style" w:hAnsi="Bookman Old Style"/>
          <w:bCs/>
          <w:iCs/>
          <w:sz w:val="22"/>
          <w:szCs w:val="22"/>
          <w:lang w:val="es-ES"/>
        </w:rPr>
        <w:t xml:space="preserve">en un defecto procedimental </w:t>
      </w:r>
      <w:r w:rsidR="00202F3A" w:rsidRPr="00B91E1C">
        <w:rPr>
          <w:rFonts w:ascii="Bookman Old Style" w:hAnsi="Bookman Old Style"/>
          <w:bCs/>
          <w:iCs/>
          <w:sz w:val="22"/>
          <w:szCs w:val="22"/>
          <w:lang w:val="es-ES"/>
        </w:rPr>
        <w:t>como en un defecto s</w:t>
      </w:r>
      <w:r w:rsidRPr="00B91E1C">
        <w:rPr>
          <w:rFonts w:ascii="Bookman Old Style" w:hAnsi="Bookman Old Style"/>
          <w:bCs/>
          <w:iCs/>
          <w:sz w:val="22"/>
          <w:szCs w:val="22"/>
          <w:lang w:val="es-ES"/>
        </w:rPr>
        <w:t xml:space="preserve">ustantivo, </w:t>
      </w:r>
      <w:r w:rsidR="00202F3A" w:rsidRPr="00B91E1C">
        <w:rPr>
          <w:rFonts w:ascii="Bookman Old Style" w:hAnsi="Bookman Old Style"/>
          <w:bCs/>
          <w:iCs/>
          <w:sz w:val="22"/>
          <w:szCs w:val="22"/>
          <w:lang w:val="es-ES"/>
        </w:rPr>
        <w:t xml:space="preserve">porque el </w:t>
      </w:r>
      <w:r w:rsidR="002A240C" w:rsidRPr="00B91E1C">
        <w:rPr>
          <w:rFonts w:ascii="Bookman Old Style" w:hAnsi="Bookman Old Style"/>
          <w:bCs/>
          <w:iCs/>
          <w:sz w:val="22"/>
          <w:szCs w:val="22"/>
          <w:lang w:val="es-ES"/>
        </w:rPr>
        <w:t xml:space="preserve">demandado no propuso la razón por la que la Sala </w:t>
      </w:r>
      <w:r w:rsidR="0022244F" w:rsidRPr="00B91E1C">
        <w:rPr>
          <w:rFonts w:ascii="Bookman Old Style" w:hAnsi="Bookman Old Style"/>
          <w:bCs/>
          <w:iCs/>
          <w:sz w:val="22"/>
          <w:szCs w:val="22"/>
          <w:lang w:val="es-ES"/>
        </w:rPr>
        <w:t>finalmente revocó la decisión</w:t>
      </w:r>
      <w:r w:rsidR="00F80B22" w:rsidRPr="00B91E1C">
        <w:rPr>
          <w:rFonts w:ascii="Bookman Old Style" w:hAnsi="Bookman Old Style"/>
          <w:bCs/>
          <w:iCs/>
          <w:sz w:val="22"/>
          <w:szCs w:val="22"/>
          <w:lang w:val="es-ES"/>
        </w:rPr>
        <w:t>, pues</w:t>
      </w:r>
      <w:r w:rsidR="00101C2C">
        <w:rPr>
          <w:rFonts w:ascii="Bookman Old Style" w:hAnsi="Bookman Old Style"/>
          <w:bCs/>
          <w:iCs/>
          <w:sz w:val="22"/>
          <w:szCs w:val="22"/>
          <w:lang w:val="es-ES"/>
        </w:rPr>
        <w:t xml:space="preserve"> </w:t>
      </w:r>
      <w:r w:rsidR="00101C2C" w:rsidRPr="00B91E1C">
        <w:rPr>
          <w:rFonts w:ascii="Bookman Old Style" w:hAnsi="Bookman Old Style" w:cs="Tahoma"/>
          <w:sz w:val="22"/>
          <w:szCs w:val="22"/>
          <w:lang w:val="es-ES"/>
        </w:rPr>
        <w:t>«</w:t>
      </w:r>
      <w:r w:rsidR="00F80B22" w:rsidRPr="00B91E1C">
        <w:rPr>
          <w:rFonts w:ascii="Bookman Old Style" w:hAnsi="Bookman Old Style"/>
          <w:bCs/>
          <w:iCs/>
          <w:sz w:val="22"/>
          <w:szCs w:val="22"/>
          <w:lang w:val="es-ES"/>
        </w:rPr>
        <w:t>… el superior no podrá enmendar la providencia en la parte que no fue objeto del recurso…</w:t>
      </w:r>
      <w:r w:rsidR="00101C2C" w:rsidRPr="00B91E1C">
        <w:rPr>
          <w:rFonts w:ascii="Bookman Old Style" w:hAnsi="Bookman Old Style" w:cs="Tahoma"/>
          <w:sz w:val="22"/>
          <w:szCs w:val="22"/>
          <w:lang w:val="es-ES"/>
        </w:rPr>
        <w:t>»</w:t>
      </w:r>
      <w:r w:rsidR="00F80B22" w:rsidRPr="00B91E1C">
        <w:rPr>
          <w:rFonts w:ascii="Bookman Old Style" w:hAnsi="Bookman Old Style"/>
          <w:bCs/>
          <w:iCs/>
          <w:sz w:val="22"/>
          <w:szCs w:val="22"/>
          <w:lang w:val="es-ES"/>
        </w:rPr>
        <w:t>.</w:t>
      </w:r>
    </w:p>
    <w:p w:rsidR="00BC6E6E" w:rsidRDefault="00BC6E6E" w:rsidP="007E54E0">
      <w:pPr>
        <w:spacing w:line="276" w:lineRule="auto"/>
        <w:jc w:val="both"/>
        <w:rPr>
          <w:rFonts w:ascii="Bookman Old Style" w:hAnsi="Bookman Old Style"/>
          <w:bCs/>
          <w:iCs/>
          <w:sz w:val="22"/>
          <w:szCs w:val="22"/>
          <w:lang w:val="es-ES"/>
        </w:rPr>
      </w:pPr>
      <w:r w:rsidRPr="00B91E1C">
        <w:rPr>
          <w:rFonts w:ascii="Bookman Old Style" w:hAnsi="Bookman Old Style"/>
          <w:bCs/>
          <w:iCs/>
          <w:sz w:val="22"/>
          <w:szCs w:val="22"/>
          <w:lang w:val="es-ES"/>
        </w:rPr>
        <w:tab/>
      </w:r>
    </w:p>
    <w:p w:rsidR="004911DF" w:rsidRDefault="004911DF" w:rsidP="007E54E0">
      <w:pPr>
        <w:spacing w:line="276" w:lineRule="auto"/>
        <w:jc w:val="both"/>
        <w:rPr>
          <w:rFonts w:ascii="Bookman Old Style" w:hAnsi="Bookman Old Style"/>
          <w:bCs/>
          <w:iCs/>
          <w:sz w:val="22"/>
          <w:szCs w:val="22"/>
          <w:lang w:val="es-ES"/>
        </w:rPr>
      </w:pPr>
    </w:p>
    <w:p w:rsidR="004911DF" w:rsidRPr="00B91E1C" w:rsidRDefault="004911DF" w:rsidP="007E54E0">
      <w:pPr>
        <w:spacing w:line="276" w:lineRule="auto"/>
        <w:jc w:val="both"/>
        <w:rPr>
          <w:rFonts w:ascii="Bookman Old Style" w:hAnsi="Bookman Old Style"/>
          <w:sz w:val="22"/>
          <w:szCs w:val="22"/>
          <w:lang w:val="es-ES"/>
        </w:rPr>
      </w:pPr>
    </w:p>
    <w:p w:rsidR="00BD42EF" w:rsidRPr="00B91E1C" w:rsidRDefault="00BD42EF" w:rsidP="007E54E0">
      <w:pPr>
        <w:spacing w:line="276" w:lineRule="auto"/>
        <w:jc w:val="both"/>
        <w:rPr>
          <w:rFonts w:ascii="Bookman Old Style" w:hAnsi="Bookman Old Style"/>
          <w:b/>
          <w:i/>
          <w:sz w:val="22"/>
          <w:szCs w:val="22"/>
          <w:lang w:val="es-ES"/>
        </w:rPr>
      </w:pPr>
      <w:r w:rsidRPr="00B91E1C">
        <w:rPr>
          <w:rFonts w:ascii="Bookman Old Style" w:hAnsi="Bookman Old Style"/>
          <w:b/>
          <w:i/>
          <w:sz w:val="22"/>
          <w:szCs w:val="22"/>
          <w:lang w:val="es-ES"/>
        </w:rPr>
        <w:lastRenderedPageBreak/>
        <w:t xml:space="preserve">2.2. </w:t>
      </w:r>
      <w:r w:rsidR="004A0242">
        <w:rPr>
          <w:rFonts w:ascii="Bookman Old Style" w:hAnsi="Bookman Old Style"/>
          <w:b/>
          <w:i/>
          <w:sz w:val="22"/>
          <w:szCs w:val="22"/>
          <w:lang w:val="es-ES"/>
        </w:rPr>
        <w:t xml:space="preserve">Incidencia de las </w:t>
      </w:r>
      <w:r w:rsidR="00101C2C" w:rsidRPr="00B91E1C">
        <w:rPr>
          <w:rFonts w:ascii="Bookman Old Style" w:hAnsi="Bookman Old Style" w:cs="Tahoma"/>
          <w:sz w:val="22"/>
          <w:szCs w:val="22"/>
          <w:lang w:val="es-ES"/>
        </w:rPr>
        <w:t>«</w:t>
      </w:r>
      <w:r w:rsidR="004A0242">
        <w:rPr>
          <w:rFonts w:ascii="Bookman Old Style" w:hAnsi="Bookman Old Style"/>
          <w:b/>
          <w:i/>
          <w:sz w:val="22"/>
          <w:szCs w:val="22"/>
          <w:lang w:val="es-ES"/>
        </w:rPr>
        <w:t>n</w:t>
      </w:r>
      <w:r w:rsidR="00F45069">
        <w:rPr>
          <w:rFonts w:ascii="Bookman Old Style" w:hAnsi="Bookman Old Style"/>
          <w:b/>
          <w:i/>
          <w:sz w:val="22"/>
          <w:szCs w:val="22"/>
          <w:lang w:val="es-ES"/>
        </w:rPr>
        <w:t>ormas imperativas</w:t>
      </w:r>
      <w:r w:rsidR="00101C2C" w:rsidRPr="00B91E1C">
        <w:rPr>
          <w:rFonts w:ascii="Bookman Old Style" w:hAnsi="Bookman Old Style" w:cs="Tahoma"/>
          <w:sz w:val="22"/>
          <w:szCs w:val="22"/>
          <w:lang w:val="es-ES"/>
        </w:rPr>
        <w:t>»</w:t>
      </w:r>
      <w:r w:rsidR="00F45069">
        <w:rPr>
          <w:rFonts w:ascii="Bookman Old Style" w:hAnsi="Bookman Old Style"/>
          <w:b/>
          <w:i/>
          <w:sz w:val="22"/>
          <w:szCs w:val="22"/>
          <w:lang w:val="es-ES"/>
        </w:rPr>
        <w:t xml:space="preserve"> </w:t>
      </w:r>
      <w:r w:rsidR="00CD23CF">
        <w:rPr>
          <w:rFonts w:ascii="Bookman Old Style" w:hAnsi="Bookman Old Style"/>
          <w:b/>
          <w:i/>
          <w:sz w:val="22"/>
          <w:szCs w:val="22"/>
          <w:lang w:val="es-ES"/>
        </w:rPr>
        <w:t xml:space="preserve">en la configuración de los </w:t>
      </w:r>
      <w:r w:rsidR="00F45069">
        <w:rPr>
          <w:rFonts w:ascii="Bookman Old Style" w:hAnsi="Bookman Old Style"/>
          <w:b/>
          <w:i/>
          <w:sz w:val="22"/>
          <w:szCs w:val="22"/>
          <w:lang w:val="es-ES"/>
        </w:rPr>
        <w:t>elemento</w:t>
      </w:r>
      <w:r w:rsidR="00CD23CF">
        <w:rPr>
          <w:rFonts w:ascii="Bookman Old Style" w:hAnsi="Bookman Old Style"/>
          <w:b/>
          <w:i/>
          <w:sz w:val="22"/>
          <w:szCs w:val="22"/>
          <w:lang w:val="es-ES"/>
        </w:rPr>
        <w:t>s</w:t>
      </w:r>
      <w:r w:rsidR="00F45069">
        <w:rPr>
          <w:rFonts w:ascii="Bookman Old Style" w:hAnsi="Bookman Old Style"/>
          <w:b/>
          <w:i/>
          <w:sz w:val="22"/>
          <w:szCs w:val="22"/>
          <w:lang w:val="es-ES"/>
        </w:rPr>
        <w:t xml:space="preserve"> </w:t>
      </w:r>
      <w:r w:rsidR="00CD23CF">
        <w:rPr>
          <w:rFonts w:ascii="Bookman Old Style" w:hAnsi="Bookman Old Style"/>
          <w:b/>
          <w:i/>
          <w:sz w:val="22"/>
          <w:szCs w:val="22"/>
          <w:lang w:val="es-ES"/>
        </w:rPr>
        <w:t>del e</w:t>
      </w:r>
      <w:r w:rsidR="000807F5" w:rsidRPr="00B91E1C">
        <w:rPr>
          <w:rFonts w:ascii="Bookman Old Style" w:hAnsi="Bookman Old Style"/>
          <w:b/>
          <w:i/>
          <w:sz w:val="22"/>
          <w:szCs w:val="22"/>
          <w:lang w:val="es-ES"/>
        </w:rPr>
        <w:t>nriquecimiento sin causa</w:t>
      </w:r>
    </w:p>
    <w:p w:rsidR="00DE06D1" w:rsidRPr="00B91E1C" w:rsidRDefault="00DE06D1" w:rsidP="007E54E0">
      <w:pPr>
        <w:spacing w:line="276" w:lineRule="auto"/>
        <w:jc w:val="both"/>
        <w:rPr>
          <w:rFonts w:ascii="Bookman Old Style" w:hAnsi="Bookman Old Style"/>
          <w:sz w:val="22"/>
          <w:szCs w:val="22"/>
          <w:lang w:val="es-ES"/>
        </w:rPr>
      </w:pPr>
    </w:p>
    <w:p w:rsidR="00F634F5" w:rsidRPr="00B91E1C" w:rsidRDefault="00106D93" w:rsidP="007E54E0">
      <w:pPr>
        <w:spacing w:line="276" w:lineRule="auto"/>
        <w:jc w:val="both"/>
        <w:rPr>
          <w:rFonts w:ascii="Bookman Old Style" w:hAnsi="Bookman Old Style"/>
          <w:sz w:val="22"/>
          <w:szCs w:val="22"/>
          <w:lang w:val="es-ES"/>
        </w:rPr>
      </w:pPr>
      <w:r w:rsidRPr="00B91E1C">
        <w:rPr>
          <w:rFonts w:ascii="Bookman Old Style" w:hAnsi="Bookman Old Style"/>
          <w:sz w:val="22"/>
          <w:szCs w:val="22"/>
          <w:lang w:val="es-ES"/>
        </w:rPr>
        <w:t>El tema de fondo de la providencia fue la aplicación de la teoría del enriquecimiento sin causa a supuestos en los cuales una persona –usualmente un particular, pero no necesariamente</w:t>
      </w:r>
      <w:r w:rsidR="00F634F5" w:rsidRPr="00B91E1C">
        <w:rPr>
          <w:rFonts w:ascii="Bookman Old Style" w:hAnsi="Bookman Old Style"/>
          <w:sz w:val="22"/>
          <w:szCs w:val="22"/>
          <w:lang w:val="es-ES"/>
        </w:rPr>
        <w:t xml:space="preserve"> un particular</w:t>
      </w:r>
      <w:r w:rsidRPr="00B91E1C">
        <w:rPr>
          <w:rFonts w:ascii="Bookman Old Style" w:hAnsi="Bookman Old Style"/>
          <w:sz w:val="22"/>
          <w:szCs w:val="22"/>
          <w:lang w:val="es-ES"/>
        </w:rPr>
        <w:t>– ejecuta prestaciones en favor de otra –usualmente el Estado, pero no necesariamente</w:t>
      </w:r>
      <w:r w:rsidR="00F634F5" w:rsidRPr="00B91E1C">
        <w:rPr>
          <w:rFonts w:ascii="Bookman Old Style" w:hAnsi="Bookman Old Style"/>
          <w:sz w:val="22"/>
          <w:szCs w:val="22"/>
          <w:lang w:val="es-ES"/>
        </w:rPr>
        <w:t xml:space="preserve"> el Estado</w:t>
      </w:r>
      <w:r w:rsidRPr="00B91E1C">
        <w:rPr>
          <w:rFonts w:ascii="Bookman Old Style" w:hAnsi="Bookman Old Style"/>
          <w:sz w:val="22"/>
          <w:szCs w:val="22"/>
          <w:lang w:val="es-ES"/>
        </w:rPr>
        <w:t xml:space="preserve">–, sin celebrar previamente </w:t>
      </w:r>
      <w:r w:rsidR="00166CBD" w:rsidRPr="00B91E1C">
        <w:rPr>
          <w:rFonts w:ascii="Bookman Old Style" w:hAnsi="Bookman Old Style"/>
          <w:sz w:val="22"/>
          <w:szCs w:val="22"/>
          <w:lang w:val="es-ES"/>
        </w:rPr>
        <w:t>el</w:t>
      </w:r>
      <w:r w:rsidRPr="00B91E1C">
        <w:rPr>
          <w:rFonts w:ascii="Bookman Old Style" w:hAnsi="Bookman Old Style"/>
          <w:sz w:val="22"/>
          <w:szCs w:val="22"/>
          <w:lang w:val="es-ES"/>
        </w:rPr>
        <w:t xml:space="preserve"> contrato que la ley </w:t>
      </w:r>
      <w:r w:rsidR="00451FED" w:rsidRPr="00B91E1C">
        <w:rPr>
          <w:rFonts w:ascii="Bookman Old Style" w:hAnsi="Bookman Old Style"/>
          <w:sz w:val="22"/>
          <w:szCs w:val="22"/>
          <w:lang w:val="es-ES"/>
        </w:rPr>
        <w:t>requiere</w:t>
      </w:r>
      <w:r w:rsidRPr="00B91E1C">
        <w:rPr>
          <w:rFonts w:ascii="Bookman Old Style" w:hAnsi="Bookman Old Style"/>
          <w:sz w:val="22"/>
          <w:szCs w:val="22"/>
          <w:lang w:val="es-ES"/>
        </w:rPr>
        <w:t xml:space="preserve"> perfeccionar </w:t>
      </w:r>
      <w:r w:rsidR="005E0486" w:rsidRPr="00B91E1C">
        <w:rPr>
          <w:rFonts w:ascii="Bookman Old Style" w:hAnsi="Bookman Old Style"/>
          <w:sz w:val="22"/>
          <w:szCs w:val="22"/>
          <w:lang w:val="es-ES"/>
        </w:rPr>
        <w:t xml:space="preserve">antes de iniciar </w:t>
      </w:r>
      <w:r w:rsidRPr="00B91E1C">
        <w:rPr>
          <w:rFonts w:ascii="Bookman Old Style" w:hAnsi="Bookman Old Style"/>
          <w:sz w:val="22"/>
          <w:szCs w:val="22"/>
          <w:lang w:val="es-ES"/>
        </w:rPr>
        <w:t xml:space="preserve">su ejecución. </w:t>
      </w:r>
    </w:p>
    <w:p w:rsidR="00301BAD" w:rsidRPr="00B91E1C" w:rsidRDefault="00166CBD" w:rsidP="004A1855">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t xml:space="preserve">Es </w:t>
      </w:r>
      <w:r w:rsidR="009445F6">
        <w:rPr>
          <w:rFonts w:ascii="Bookman Old Style" w:hAnsi="Bookman Old Style"/>
          <w:sz w:val="22"/>
          <w:szCs w:val="22"/>
          <w:lang w:val="es-ES"/>
        </w:rPr>
        <w:t xml:space="preserve">muy </w:t>
      </w:r>
      <w:r w:rsidRPr="00B91E1C">
        <w:rPr>
          <w:rFonts w:ascii="Bookman Old Style" w:hAnsi="Bookman Old Style"/>
          <w:sz w:val="22"/>
          <w:szCs w:val="22"/>
          <w:lang w:val="es-ES"/>
        </w:rPr>
        <w:t>importante aclarar que e</w:t>
      </w:r>
      <w:r w:rsidR="00106D93" w:rsidRPr="00B91E1C">
        <w:rPr>
          <w:rFonts w:ascii="Bookman Old Style" w:hAnsi="Bookman Old Style"/>
          <w:sz w:val="22"/>
          <w:szCs w:val="22"/>
          <w:lang w:val="es-ES"/>
        </w:rPr>
        <w:t xml:space="preserve">sta exigencia aplica </w:t>
      </w:r>
      <w:r w:rsidR="0035438D" w:rsidRPr="00B91E1C">
        <w:rPr>
          <w:rFonts w:ascii="Bookman Old Style" w:hAnsi="Bookman Old Style"/>
          <w:sz w:val="22"/>
          <w:szCs w:val="22"/>
          <w:lang w:val="es-ES"/>
        </w:rPr>
        <w:t>especialmente</w:t>
      </w:r>
      <w:r w:rsidR="00106D93" w:rsidRPr="00B91E1C">
        <w:rPr>
          <w:rFonts w:ascii="Bookman Old Style" w:hAnsi="Bookman Old Style"/>
          <w:sz w:val="22"/>
          <w:szCs w:val="22"/>
          <w:lang w:val="es-ES"/>
        </w:rPr>
        <w:t xml:space="preserve"> a las entidades regidas por la Ley 80 de 1993</w:t>
      </w:r>
      <w:r w:rsidR="00871359" w:rsidRPr="00B91E1C">
        <w:rPr>
          <w:rFonts w:ascii="Bookman Old Style" w:hAnsi="Bookman Old Style"/>
          <w:sz w:val="22"/>
          <w:szCs w:val="22"/>
          <w:lang w:val="es-ES"/>
        </w:rPr>
        <w:t>; no así a</w:t>
      </w:r>
      <w:r w:rsidR="00D36201" w:rsidRPr="00B91E1C">
        <w:rPr>
          <w:rFonts w:ascii="Bookman Old Style" w:hAnsi="Bookman Old Style"/>
          <w:sz w:val="22"/>
          <w:szCs w:val="22"/>
          <w:lang w:val="es-ES"/>
        </w:rPr>
        <w:t xml:space="preserve"> las excluidas </w:t>
      </w:r>
      <w:r w:rsidR="00871359" w:rsidRPr="00B91E1C">
        <w:rPr>
          <w:rFonts w:ascii="Bookman Old Style" w:hAnsi="Bookman Old Style"/>
          <w:sz w:val="22"/>
          <w:szCs w:val="22"/>
          <w:lang w:val="es-ES"/>
        </w:rPr>
        <w:t xml:space="preserve">de </w:t>
      </w:r>
      <w:r w:rsidR="00D36201" w:rsidRPr="00B91E1C">
        <w:rPr>
          <w:rFonts w:ascii="Bookman Old Style" w:hAnsi="Bookman Old Style"/>
          <w:sz w:val="22"/>
          <w:szCs w:val="22"/>
          <w:lang w:val="es-ES"/>
        </w:rPr>
        <w:t>ella</w:t>
      </w:r>
      <w:r w:rsidR="00871359" w:rsidRPr="00B91E1C">
        <w:rPr>
          <w:rFonts w:ascii="Bookman Old Style" w:hAnsi="Bookman Old Style"/>
          <w:sz w:val="22"/>
          <w:szCs w:val="22"/>
          <w:lang w:val="es-ES"/>
        </w:rPr>
        <w:t xml:space="preserve"> </w:t>
      </w:r>
      <w:r w:rsidR="009F302E" w:rsidRPr="00B91E1C">
        <w:rPr>
          <w:rFonts w:ascii="Bookman Old Style" w:hAnsi="Bookman Old Style"/>
          <w:sz w:val="22"/>
          <w:szCs w:val="22"/>
          <w:lang w:val="es-ES"/>
        </w:rPr>
        <w:t xml:space="preserve">–caso de hospitales (ESE), </w:t>
      </w:r>
      <w:r w:rsidR="003D45A2">
        <w:rPr>
          <w:rFonts w:ascii="Bookman Old Style" w:hAnsi="Bookman Old Style"/>
          <w:sz w:val="22"/>
          <w:szCs w:val="22"/>
          <w:lang w:val="es-ES"/>
        </w:rPr>
        <w:t xml:space="preserve">entes autónomos universitarios, </w:t>
      </w:r>
      <w:r w:rsidR="009F302E" w:rsidRPr="00B91E1C">
        <w:rPr>
          <w:rFonts w:ascii="Bookman Old Style" w:hAnsi="Bookman Old Style"/>
          <w:sz w:val="22"/>
          <w:szCs w:val="22"/>
          <w:lang w:val="es-ES"/>
        </w:rPr>
        <w:t>empresas de servicios públicos domiciliarios, empresas industriales y comerciales, sociedades de economía mixta</w:t>
      </w:r>
      <w:r w:rsidR="00871359" w:rsidRPr="00B91E1C">
        <w:rPr>
          <w:rFonts w:ascii="Bookman Old Style" w:hAnsi="Bookman Old Style"/>
          <w:sz w:val="22"/>
          <w:szCs w:val="22"/>
          <w:lang w:val="es-ES"/>
        </w:rPr>
        <w:t xml:space="preserve">, </w:t>
      </w:r>
      <w:r w:rsidR="0035438D" w:rsidRPr="00B91E1C">
        <w:rPr>
          <w:rFonts w:ascii="Bookman Old Style" w:hAnsi="Bookman Old Style"/>
          <w:sz w:val="22"/>
          <w:szCs w:val="22"/>
          <w:lang w:val="es-ES"/>
        </w:rPr>
        <w:t>entre otras</w:t>
      </w:r>
      <w:r w:rsidR="009F302E" w:rsidRPr="00B91E1C">
        <w:rPr>
          <w:rFonts w:ascii="Bookman Old Style" w:hAnsi="Bookman Old Style"/>
          <w:sz w:val="22"/>
          <w:szCs w:val="22"/>
          <w:lang w:val="es-ES"/>
        </w:rPr>
        <w:t>–</w:t>
      </w:r>
      <w:r w:rsidR="00D36201" w:rsidRPr="00B91E1C">
        <w:rPr>
          <w:rFonts w:ascii="Bookman Old Style" w:hAnsi="Bookman Old Style"/>
          <w:sz w:val="22"/>
          <w:szCs w:val="22"/>
          <w:lang w:val="es-ES"/>
        </w:rPr>
        <w:t xml:space="preserve">, </w:t>
      </w:r>
      <w:r w:rsidR="009F302E" w:rsidRPr="00B91E1C">
        <w:rPr>
          <w:rFonts w:ascii="Bookman Old Style" w:hAnsi="Bookman Old Style"/>
          <w:sz w:val="22"/>
          <w:szCs w:val="22"/>
          <w:lang w:val="es-ES"/>
        </w:rPr>
        <w:t xml:space="preserve">porque en derecho privado los contratos se perfeccionan de manera consensual, así es que </w:t>
      </w:r>
      <w:r w:rsidR="003D45A2">
        <w:rPr>
          <w:rFonts w:ascii="Bookman Old Style" w:hAnsi="Bookman Old Style"/>
          <w:sz w:val="22"/>
          <w:szCs w:val="22"/>
          <w:lang w:val="es-ES"/>
        </w:rPr>
        <w:t xml:space="preserve">el contrato existe </w:t>
      </w:r>
      <w:r w:rsidR="009F302E" w:rsidRPr="00B91E1C">
        <w:rPr>
          <w:rFonts w:ascii="Bookman Old Style" w:hAnsi="Bookman Old Style"/>
          <w:sz w:val="22"/>
          <w:szCs w:val="22"/>
          <w:lang w:val="es-ES"/>
        </w:rPr>
        <w:t>siempre que el representante legal</w:t>
      </w:r>
      <w:r w:rsidR="00871359" w:rsidRPr="00B91E1C">
        <w:rPr>
          <w:rFonts w:ascii="Bookman Old Style" w:hAnsi="Bookman Old Style"/>
          <w:sz w:val="22"/>
          <w:szCs w:val="22"/>
          <w:lang w:val="es-ES"/>
        </w:rPr>
        <w:t xml:space="preserve"> de la entidad estatal y el sujeto</w:t>
      </w:r>
      <w:r w:rsidR="003D45A2">
        <w:rPr>
          <w:rFonts w:ascii="Bookman Old Style" w:hAnsi="Bookman Old Style"/>
          <w:sz w:val="22"/>
          <w:szCs w:val="22"/>
          <w:lang w:val="es-ES"/>
        </w:rPr>
        <w:t xml:space="preserve"> con</w:t>
      </w:r>
      <w:r w:rsidR="00871359" w:rsidRPr="00B91E1C">
        <w:rPr>
          <w:rFonts w:ascii="Bookman Old Style" w:hAnsi="Bookman Old Style"/>
          <w:sz w:val="22"/>
          <w:szCs w:val="22"/>
          <w:lang w:val="es-ES"/>
        </w:rPr>
        <w:t xml:space="preserve"> </w:t>
      </w:r>
      <w:r w:rsidR="003D45A2">
        <w:rPr>
          <w:rFonts w:ascii="Bookman Old Style" w:hAnsi="Bookman Old Style"/>
          <w:sz w:val="22"/>
          <w:szCs w:val="22"/>
          <w:lang w:val="es-ES"/>
        </w:rPr>
        <w:t>capacidad</w:t>
      </w:r>
      <w:r w:rsidR="00871359" w:rsidRPr="00B91E1C">
        <w:rPr>
          <w:rFonts w:ascii="Bookman Old Style" w:hAnsi="Bookman Old Style"/>
          <w:sz w:val="22"/>
          <w:szCs w:val="22"/>
          <w:lang w:val="es-ES"/>
        </w:rPr>
        <w:t xml:space="preserve"> de la persona privada lleguen a un acuerdo </w:t>
      </w:r>
      <w:r w:rsidR="009445F6">
        <w:rPr>
          <w:rFonts w:ascii="Bookman Old Style" w:hAnsi="Bookman Old Style"/>
          <w:sz w:val="22"/>
          <w:szCs w:val="22"/>
          <w:lang w:val="es-ES"/>
        </w:rPr>
        <w:t xml:space="preserve">verbal </w:t>
      </w:r>
      <w:r w:rsidR="00871359" w:rsidRPr="00B91E1C">
        <w:rPr>
          <w:rFonts w:ascii="Bookman Old Style" w:hAnsi="Bookman Old Style"/>
          <w:sz w:val="22"/>
          <w:szCs w:val="22"/>
          <w:lang w:val="es-ES"/>
        </w:rPr>
        <w:t>sobre el negocio jurídico.</w:t>
      </w:r>
    </w:p>
    <w:p w:rsidR="00301BAD" w:rsidRPr="00B91E1C" w:rsidRDefault="00625866" w:rsidP="004A1855">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t>L</w:t>
      </w:r>
      <w:r w:rsidR="00871359" w:rsidRPr="00B91E1C">
        <w:rPr>
          <w:rFonts w:ascii="Bookman Old Style" w:hAnsi="Bookman Old Style"/>
          <w:sz w:val="22"/>
          <w:szCs w:val="22"/>
          <w:lang w:val="es-ES"/>
        </w:rPr>
        <w:t xml:space="preserve">a anterior precisión </w:t>
      </w:r>
      <w:r w:rsidRPr="00B91E1C">
        <w:rPr>
          <w:rFonts w:ascii="Bookman Old Style" w:hAnsi="Bookman Old Style"/>
          <w:sz w:val="22"/>
          <w:szCs w:val="22"/>
          <w:lang w:val="es-ES"/>
        </w:rPr>
        <w:t xml:space="preserve">es importante </w:t>
      </w:r>
      <w:r w:rsidR="00871359" w:rsidRPr="00B91E1C">
        <w:rPr>
          <w:rFonts w:ascii="Bookman Old Style" w:hAnsi="Bookman Old Style"/>
          <w:sz w:val="22"/>
          <w:szCs w:val="22"/>
          <w:lang w:val="es-ES"/>
        </w:rPr>
        <w:t xml:space="preserve">porque la sentencia de unificación solo se refirió a los contratos que </w:t>
      </w:r>
      <w:r w:rsidR="00863067">
        <w:rPr>
          <w:rFonts w:ascii="Bookman Old Style" w:hAnsi="Bookman Old Style"/>
          <w:sz w:val="22"/>
          <w:szCs w:val="22"/>
          <w:lang w:val="es-ES"/>
        </w:rPr>
        <w:t xml:space="preserve">necesitan </w:t>
      </w:r>
      <w:r w:rsidR="00871359" w:rsidRPr="00B91E1C">
        <w:rPr>
          <w:rFonts w:ascii="Bookman Old Style" w:hAnsi="Bookman Old Style"/>
          <w:sz w:val="22"/>
          <w:szCs w:val="22"/>
          <w:lang w:val="es-ES"/>
        </w:rPr>
        <w:t xml:space="preserve">las solemnidades previstas en la Ley de Contratos del Estado; </w:t>
      </w:r>
      <w:r w:rsidRPr="00B91E1C">
        <w:rPr>
          <w:rFonts w:ascii="Bookman Old Style" w:hAnsi="Bookman Old Style"/>
          <w:sz w:val="22"/>
          <w:szCs w:val="22"/>
          <w:lang w:val="es-ES"/>
        </w:rPr>
        <w:t xml:space="preserve">sin embargo, </w:t>
      </w:r>
      <w:r w:rsidR="00871359" w:rsidRPr="00B91E1C">
        <w:rPr>
          <w:rFonts w:ascii="Bookman Old Style" w:hAnsi="Bookman Old Style"/>
          <w:sz w:val="22"/>
          <w:szCs w:val="22"/>
          <w:lang w:val="es-ES"/>
        </w:rPr>
        <w:t xml:space="preserve">muchos </w:t>
      </w:r>
      <w:r w:rsidRPr="00B91E1C">
        <w:rPr>
          <w:rFonts w:ascii="Bookman Old Style" w:hAnsi="Bookman Old Style"/>
          <w:sz w:val="22"/>
          <w:szCs w:val="22"/>
          <w:lang w:val="es-ES"/>
        </w:rPr>
        <w:t xml:space="preserve">operadores jurídicos </w:t>
      </w:r>
      <w:r w:rsidR="00871359" w:rsidRPr="00B91E1C">
        <w:rPr>
          <w:rFonts w:ascii="Bookman Old Style" w:hAnsi="Bookman Old Style"/>
          <w:sz w:val="22"/>
          <w:szCs w:val="22"/>
          <w:lang w:val="es-ES"/>
        </w:rPr>
        <w:t xml:space="preserve">extienden el análisis a las entidades que no se rigen por esa norma, sin diferenciar los requisitos de perfeccionamiento </w:t>
      </w:r>
      <w:r w:rsidRPr="00B91E1C">
        <w:rPr>
          <w:rFonts w:ascii="Bookman Old Style" w:hAnsi="Bookman Old Style"/>
          <w:sz w:val="22"/>
          <w:szCs w:val="22"/>
          <w:lang w:val="es-ES"/>
        </w:rPr>
        <w:t>de</w:t>
      </w:r>
      <w:r w:rsidR="003069F7" w:rsidRPr="00B91E1C">
        <w:rPr>
          <w:rFonts w:ascii="Bookman Old Style" w:hAnsi="Bookman Old Style"/>
          <w:sz w:val="22"/>
          <w:szCs w:val="22"/>
          <w:lang w:val="es-ES"/>
        </w:rPr>
        <w:t xml:space="preserve"> </w:t>
      </w:r>
      <w:r w:rsidR="00871359" w:rsidRPr="00B91E1C">
        <w:rPr>
          <w:rFonts w:ascii="Bookman Old Style" w:hAnsi="Bookman Old Style"/>
          <w:sz w:val="22"/>
          <w:szCs w:val="22"/>
          <w:lang w:val="es-ES"/>
        </w:rPr>
        <w:t>cada ordenamiento</w:t>
      </w:r>
      <w:r w:rsidRPr="00B91E1C">
        <w:rPr>
          <w:rFonts w:ascii="Bookman Old Style" w:hAnsi="Bookman Old Style"/>
          <w:sz w:val="22"/>
          <w:szCs w:val="22"/>
          <w:lang w:val="es-ES"/>
        </w:rPr>
        <w:t>: en Ley 80 contrato escrito; en derecho privado consensualidad –aspecto que los reglamentos internos n</w:t>
      </w:r>
      <w:r w:rsidR="000128FE">
        <w:rPr>
          <w:rFonts w:ascii="Bookman Old Style" w:hAnsi="Bookman Old Style"/>
          <w:sz w:val="22"/>
          <w:szCs w:val="22"/>
          <w:lang w:val="es-ES"/>
        </w:rPr>
        <w:t xml:space="preserve">i siquiera </w:t>
      </w:r>
      <w:r w:rsidRPr="00B91E1C">
        <w:rPr>
          <w:rFonts w:ascii="Bookman Old Style" w:hAnsi="Bookman Old Style"/>
          <w:sz w:val="22"/>
          <w:szCs w:val="22"/>
          <w:lang w:val="es-ES"/>
        </w:rPr>
        <w:t xml:space="preserve">pueden regular, porque </w:t>
      </w:r>
      <w:r w:rsidR="000128FE">
        <w:rPr>
          <w:rFonts w:ascii="Bookman Old Style" w:hAnsi="Bookman Old Style"/>
          <w:sz w:val="22"/>
          <w:szCs w:val="22"/>
          <w:lang w:val="es-ES"/>
        </w:rPr>
        <w:t xml:space="preserve">la materia </w:t>
      </w:r>
      <w:r w:rsidRPr="00B91E1C">
        <w:rPr>
          <w:rFonts w:ascii="Bookman Old Style" w:hAnsi="Bookman Old Style"/>
          <w:sz w:val="22"/>
          <w:szCs w:val="22"/>
          <w:lang w:val="es-ES"/>
        </w:rPr>
        <w:t xml:space="preserve">tiene </w:t>
      </w:r>
      <w:r w:rsidRPr="00B91E1C">
        <w:rPr>
          <w:rFonts w:ascii="Bookman Old Style" w:hAnsi="Bookman Old Style"/>
          <w:i/>
          <w:sz w:val="22"/>
          <w:szCs w:val="22"/>
          <w:lang w:val="es-ES"/>
        </w:rPr>
        <w:t>reserva de ley</w:t>
      </w:r>
      <w:r w:rsidRPr="00B91E1C">
        <w:rPr>
          <w:rFonts w:ascii="Bookman Old Style" w:hAnsi="Bookman Old Style"/>
          <w:sz w:val="22"/>
          <w:szCs w:val="22"/>
          <w:lang w:val="es-ES"/>
        </w:rPr>
        <w:t>–.</w:t>
      </w:r>
    </w:p>
    <w:p w:rsidR="0025651C" w:rsidRPr="00B91E1C" w:rsidRDefault="009E4CDF" w:rsidP="00D023A4">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t xml:space="preserve">De otro lado, </w:t>
      </w:r>
      <w:r w:rsidR="003069F7" w:rsidRPr="00B91E1C">
        <w:rPr>
          <w:rFonts w:ascii="Bookman Old Style" w:hAnsi="Bookman Old Style"/>
          <w:sz w:val="22"/>
          <w:szCs w:val="22"/>
          <w:lang w:val="es-ES"/>
        </w:rPr>
        <w:t xml:space="preserve">los </w:t>
      </w:r>
      <w:r w:rsidRPr="00B91E1C">
        <w:rPr>
          <w:rFonts w:ascii="Bookman Old Style" w:hAnsi="Bookman Old Style"/>
          <w:sz w:val="22"/>
          <w:szCs w:val="22"/>
          <w:lang w:val="es-ES"/>
        </w:rPr>
        <w:t>supuestos</w:t>
      </w:r>
      <w:r w:rsidR="003069F7" w:rsidRPr="00B91E1C">
        <w:rPr>
          <w:rFonts w:ascii="Bookman Old Style" w:hAnsi="Bookman Old Style"/>
          <w:sz w:val="22"/>
          <w:szCs w:val="22"/>
          <w:lang w:val="es-ES"/>
        </w:rPr>
        <w:t xml:space="preserve"> de enriquecimiento sin causa </w:t>
      </w:r>
      <w:r w:rsidRPr="00B91E1C">
        <w:rPr>
          <w:rFonts w:ascii="Bookman Old Style" w:hAnsi="Bookman Old Style"/>
          <w:sz w:val="22"/>
          <w:szCs w:val="22"/>
          <w:lang w:val="es-ES"/>
        </w:rPr>
        <w:t>de tipo</w:t>
      </w:r>
      <w:r w:rsidR="003069F7" w:rsidRPr="00B91E1C">
        <w:rPr>
          <w:rFonts w:ascii="Bookman Old Style" w:hAnsi="Bookman Old Style"/>
          <w:sz w:val="22"/>
          <w:szCs w:val="22"/>
          <w:lang w:val="es-ES"/>
        </w:rPr>
        <w:t xml:space="preserve"> contractual</w:t>
      </w:r>
      <w:r w:rsidR="00D823EB" w:rsidRPr="00B91E1C">
        <w:rPr>
          <w:rFonts w:ascii="Bookman Old Style" w:hAnsi="Bookman Old Style"/>
          <w:sz w:val="22"/>
          <w:szCs w:val="22"/>
          <w:lang w:val="es-ES"/>
        </w:rPr>
        <w:t xml:space="preserve"> </w:t>
      </w:r>
      <w:r w:rsidR="00542BB7" w:rsidRPr="00B91E1C">
        <w:rPr>
          <w:rFonts w:ascii="Bookman Old Style" w:hAnsi="Bookman Old Style"/>
          <w:sz w:val="22"/>
          <w:szCs w:val="22"/>
          <w:lang w:val="es-ES"/>
        </w:rPr>
        <w:t xml:space="preserve">ponen en tensión a la </w:t>
      </w:r>
      <w:r w:rsidR="00542BB7" w:rsidRPr="00B91E1C">
        <w:rPr>
          <w:rFonts w:ascii="Bookman Old Style" w:hAnsi="Bookman Old Style"/>
          <w:i/>
          <w:sz w:val="22"/>
          <w:szCs w:val="22"/>
          <w:lang w:val="es-ES"/>
        </w:rPr>
        <w:t>legalidad</w:t>
      </w:r>
      <w:r w:rsidR="00542BB7" w:rsidRPr="00B91E1C">
        <w:rPr>
          <w:rFonts w:ascii="Bookman Old Style" w:hAnsi="Bookman Old Style"/>
          <w:sz w:val="22"/>
          <w:szCs w:val="22"/>
          <w:lang w:val="es-ES"/>
        </w:rPr>
        <w:t xml:space="preserve"> con la </w:t>
      </w:r>
      <w:r w:rsidR="00542BB7" w:rsidRPr="00B91E1C">
        <w:rPr>
          <w:rFonts w:ascii="Bookman Old Style" w:hAnsi="Bookman Old Style"/>
          <w:i/>
          <w:sz w:val="22"/>
          <w:szCs w:val="22"/>
          <w:lang w:val="es-ES"/>
        </w:rPr>
        <w:t>justicia</w:t>
      </w:r>
      <w:r w:rsidRPr="00B91E1C">
        <w:rPr>
          <w:rFonts w:ascii="Bookman Old Style" w:hAnsi="Bookman Old Style"/>
          <w:sz w:val="22"/>
          <w:szCs w:val="22"/>
          <w:lang w:val="es-ES"/>
        </w:rPr>
        <w:t xml:space="preserve">, porque </w:t>
      </w:r>
      <w:r w:rsidR="0025651C" w:rsidRPr="00B91E1C">
        <w:rPr>
          <w:rFonts w:ascii="Bookman Old Style" w:hAnsi="Bookman Old Style"/>
          <w:sz w:val="22"/>
          <w:szCs w:val="22"/>
          <w:lang w:val="es-ES"/>
        </w:rPr>
        <w:t>quienes exi</w:t>
      </w:r>
      <w:r w:rsidR="00D023A4">
        <w:rPr>
          <w:rFonts w:ascii="Bookman Old Style" w:hAnsi="Bookman Old Style"/>
          <w:sz w:val="22"/>
          <w:szCs w:val="22"/>
          <w:lang w:val="es-ES"/>
        </w:rPr>
        <w:t>g</w:t>
      </w:r>
      <w:r w:rsidR="0025651C" w:rsidRPr="00B91E1C">
        <w:rPr>
          <w:rFonts w:ascii="Bookman Old Style" w:hAnsi="Bookman Old Style"/>
          <w:sz w:val="22"/>
          <w:szCs w:val="22"/>
          <w:lang w:val="es-ES"/>
        </w:rPr>
        <w:t xml:space="preserve">en </w:t>
      </w:r>
      <w:r w:rsidR="00101C2C" w:rsidRPr="00B91E1C">
        <w:rPr>
          <w:rFonts w:ascii="Bookman Old Style" w:hAnsi="Bookman Old Style" w:cs="Tahoma"/>
          <w:sz w:val="22"/>
          <w:szCs w:val="22"/>
          <w:lang w:val="es-ES"/>
        </w:rPr>
        <w:t>«</w:t>
      </w:r>
      <w:r w:rsidR="0025651C" w:rsidRPr="00D023A4">
        <w:rPr>
          <w:rFonts w:ascii="Bookman Old Style" w:hAnsi="Bookman Old Style"/>
          <w:i/>
          <w:sz w:val="22"/>
          <w:szCs w:val="22"/>
          <w:lang w:val="es-ES"/>
        </w:rPr>
        <w:t>mucha legalidad</w:t>
      </w:r>
      <w:r w:rsidR="00101C2C" w:rsidRPr="00B91E1C">
        <w:rPr>
          <w:rFonts w:ascii="Bookman Old Style" w:hAnsi="Bookman Old Style" w:cs="Tahoma"/>
          <w:sz w:val="22"/>
          <w:szCs w:val="22"/>
          <w:lang w:val="es-ES"/>
        </w:rPr>
        <w:t>»</w:t>
      </w:r>
      <w:r w:rsidR="0025651C" w:rsidRPr="00B91E1C">
        <w:rPr>
          <w:rFonts w:ascii="Bookman Old Style" w:hAnsi="Bookman Old Style"/>
          <w:sz w:val="22"/>
          <w:szCs w:val="22"/>
          <w:lang w:val="es-ES"/>
        </w:rPr>
        <w:t xml:space="preserve"> tienden a negar el derecho al pago de lo ejecutado sin contrato; y quienes no la exijan tanto tienden a conceder</w:t>
      </w:r>
      <w:r w:rsidR="00D023A4">
        <w:rPr>
          <w:rFonts w:ascii="Bookman Old Style" w:hAnsi="Bookman Old Style"/>
          <w:sz w:val="22"/>
          <w:szCs w:val="22"/>
          <w:lang w:val="es-ES"/>
        </w:rPr>
        <w:t>lo</w:t>
      </w:r>
      <w:r w:rsidR="0025651C" w:rsidRPr="00B91E1C">
        <w:rPr>
          <w:rFonts w:ascii="Bookman Old Style" w:hAnsi="Bookman Old Style"/>
          <w:sz w:val="22"/>
          <w:szCs w:val="22"/>
          <w:lang w:val="es-ES"/>
        </w:rPr>
        <w:t>.</w:t>
      </w:r>
      <w:r w:rsidR="00542BB7" w:rsidRPr="00B91E1C">
        <w:rPr>
          <w:rFonts w:ascii="Bookman Old Style" w:hAnsi="Bookman Old Style"/>
          <w:sz w:val="22"/>
          <w:szCs w:val="22"/>
          <w:lang w:val="es-ES"/>
        </w:rPr>
        <w:t xml:space="preserve"> En este sentido</w:t>
      </w:r>
      <w:r w:rsidR="00D023A4">
        <w:rPr>
          <w:rFonts w:ascii="Bookman Old Style" w:hAnsi="Bookman Old Style"/>
          <w:sz w:val="22"/>
          <w:szCs w:val="22"/>
          <w:lang w:val="es-ES"/>
        </w:rPr>
        <w:t>,</w:t>
      </w:r>
      <w:r w:rsidR="00542BB7" w:rsidRPr="00B91E1C">
        <w:rPr>
          <w:rFonts w:ascii="Bookman Old Style" w:hAnsi="Bookman Old Style"/>
          <w:sz w:val="22"/>
          <w:szCs w:val="22"/>
          <w:lang w:val="es-ES"/>
        </w:rPr>
        <w:t xml:space="preserve"> la Sala Plena h</w:t>
      </w:r>
      <w:r w:rsidR="00D023A4">
        <w:rPr>
          <w:rFonts w:ascii="Bookman Old Style" w:hAnsi="Bookman Old Style"/>
          <w:sz w:val="22"/>
          <w:szCs w:val="22"/>
          <w:lang w:val="es-ES"/>
        </w:rPr>
        <w:t xml:space="preserve">izo </w:t>
      </w:r>
      <w:r w:rsidR="00542BB7" w:rsidRPr="00B91E1C">
        <w:rPr>
          <w:rFonts w:ascii="Bookman Old Style" w:hAnsi="Bookman Old Style"/>
          <w:sz w:val="22"/>
          <w:szCs w:val="22"/>
          <w:lang w:val="es-ES"/>
        </w:rPr>
        <w:t xml:space="preserve">prevalecer la </w:t>
      </w:r>
      <w:r w:rsidR="0025651C" w:rsidRPr="00B91E1C">
        <w:rPr>
          <w:rFonts w:ascii="Bookman Old Style" w:hAnsi="Bookman Old Style"/>
          <w:sz w:val="22"/>
          <w:szCs w:val="22"/>
          <w:lang w:val="es-ES"/>
        </w:rPr>
        <w:t>legalidad fuerte</w:t>
      </w:r>
      <w:r w:rsidR="00542BB7" w:rsidRPr="00B91E1C">
        <w:rPr>
          <w:rFonts w:ascii="Bookman Old Style" w:hAnsi="Bookman Old Style"/>
          <w:sz w:val="22"/>
          <w:szCs w:val="22"/>
          <w:lang w:val="es-ES"/>
        </w:rPr>
        <w:t xml:space="preserve">, por su defensa del ordenamiento jurídico, del valor y la importancia de respetarlo, porque las normas </w:t>
      </w:r>
      <w:r w:rsidR="0025651C" w:rsidRPr="00B91E1C">
        <w:rPr>
          <w:rFonts w:ascii="Bookman Old Style" w:hAnsi="Bookman Old Style"/>
          <w:sz w:val="22"/>
          <w:szCs w:val="22"/>
          <w:lang w:val="es-ES"/>
        </w:rPr>
        <w:t xml:space="preserve">de contratación estatal </w:t>
      </w:r>
      <w:r w:rsidR="00542BB7" w:rsidRPr="00B91E1C">
        <w:rPr>
          <w:rFonts w:ascii="Bookman Old Style" w:hAnsi="Bookman Old Style"/>
          <w:sz w:val="22"/>
          <w:szCs w:val="22"/>
          <w:lang w:val="es-ES"/>
        </w:rPr>
        <w:t>se deben cumplir, y su inobservancia debe castiga</w:t>
      </w:r>
      <w:r w:rsidR="00D023A4">
        <w:rPr>
          <w:rFonts w:ascii="Bookman Old Style" w:hAnsi="Bookman Old Style"/>
          <w:sz w:val="22"/>
          <w:szCs w:val="22"/>
          <w:lang w:val="es-ES"/>
        </w:rPr>
        <w:t xml:space="preserve">rse </w:t>
      </w:r>
      <w:r w:rsidR="00542BB7" w:rsidRPr="00B91E1C">
        <w:rPr>
          <w:rFonts w:ascii="Bookman Old Style" w:hAnsi="Bookman Old Style"/>
          <w:sz w:val="22"/>
          <w:szCs w:val="22"/>
          <w:lang w:val="es-ES"/>
        </w:rPr>
        <w:t xml:space="preserve">o, </w:t>
      </w:r>
      <w:r w:rsidR="0025651C" w:rsidRPr="00B91E1C">
        <w:rPr>
          <w:rFonts w:ascii="Bookman Old Style" w:hAnsi="Bookman Old Style"/>
          <w:sz w:val="22"/>
          <w:szCs w:val="22"/>
          <w:lang w:val="es-ES"/>
        </w:rPr>
        <w:t xml:space="preserve">por lo menos </w:t>
      </w:r>
      <w:r w:rsidR="00D023A4">
        <w:rPr>
          <w:rFonts w:ascii="Bookman Old Style" w:hAnsi="Bookman Old Style"/>
          <w:sz w:val="22"/>
          <w:szCs w:val="22"/>
          <w:lang w:val="es-ES"/>
        </w:rPr>
        <w:t>–</w:t>
      </w:r>
      <w:r w:rsidR="00542BB7" w:rsidRPr="00B91E1C">
        <w:rPr>
          <w:rFonts w:ascii="Bookman Old Style" w:hAnsi="Bookman Old Style"/>
          <w:sz w:val="22"/>
          <w:szCs w:val="22"/>
          <w:lang w:val="es-ES"/>
        </w:rPr>
        <w:t>como sucede en estos casos</w:t>
      </w:r>
      <w:r w:rsidR="00D023A4">
        <w:rPr>
          <w:rFonts w:ascii="Bookman Old Style" w:hAnsi="Bookman Old Style"/>
          <w:sz w:val="22"/>
          <w:szCs w:val="22"/>
          <w:lang w:val="es-ES"/>
        </w:rPr>
        <w:t>–</w:t>
      </w:r>
      <w:r w:rsidR="00542BB7" w:rsidRPr="00B91E1C">
        <w:rPr>
          <w:rFonts w:ascii="Bookman Old Style" w:hAnsi="Bookman Old Style"/>
          <w:sz w:val="22"/>
          <w:szCs w:val="22"/>
          <w:lang w:val="es-ES"/>
        </w:rPr>
        <w:t xml:space="preserve"> no debe crear derechos para quien l</w:t>
      </w:r>
      <w:r w:rsidR="00D023A4">
        <w:rPr>
          <w:rFonts w:ascii="Bookman Old Style" w:hAnsi="Bookman Old Style"/>
          <w:sz w:val="22"/>
          <w:szCs w:val="22"/>
          <w:lang w:val="es-ES"/>
        </w:rPr>
        <w:t>a</w:t>
      </w:r>
      <w:r w:rsidR="000B5368">
        <w:rPr>
          <w:rFonts w:ascii="Bookman Old Style" w:hAnsi="Bookman Old Style"/>
          <w:sz w:val="22"/>
          <w:szCs w:val="22"/>
          <w:lang w:val="es-ES"/>
        </w:rPr>
        <w:t>s</w:t>
      </w:r>
      <w:r w:rsidR="00542BB7" w:rsidRPr="00B91E1C">
        <w:rPr>
          <w:rFonts w:ascii="Bookman Old Style" w:hAnsi="Bookman Old Style"/>
          <w:sz w:val="22"/>
          <w:szCs w:val="22"/>
          <w:lang w:val="es-ES"/>
        </w:rPr>
        <w:t xml:space="preserve"> viola. </w:t>
      </w:r>
    </w:p>
    <w:p w:rsidR="003069F7" w:rsidRPr="00B91E1C" w:rsidRDefault="00542BB7" w:rsidP="004A1855">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t xml:space="preserve">En cambio, quienes ponemos al acento en la </w:t>
      </w:r>
      <w:r w:rsidRPr="00B91E1C">
        <w:rPr>
          <w:rFonts w:ascii="Bookman Old Style" w:hAnsi="Bookman Old Style"/>
          <w:i/>
          <w:sz w:val="22"/>
          <w:szCs w:val="22"/>
          <w:lang w:val="es-ES"/>
        </w:rPr>
        <w:t>justicia</w:t>
      </w:r>
      <w:r w:rsidRPr="00B91E1C">
        <w:rPr>
          <w:rFonts w:ascii="Bookman Old Style" w:hAnsi="Bookman Old Style"/>
          <w:sz w:val="22"/>
          <w:szCs w:val="22"/>
          <w:lang w:val="es-ES"/>
        </w:rPr>
        <w:t xml:space="preserve"> entendemos que si bien la violación a la Ley es reprochable, porque se debe cumplir, </w:t>
      </w:r>
      <w:r w:rsidR="00D023A4">
        <w:rPr>
          <w:rFonts w:ascii="Bookman Old Style" w:hAnsi="Bookman Old Style"/>
          <w:sz w:val="22"/>
          <w:szCs w:val="22"/>
          <w:lang w:val="es-ES"/>
        </w:rPr>
        <w:t>hay</w:t>
      </w:r>
      <w:r w:rsidRPr="00B91E1C">
        <w:rPr>
          <w:rFonts w:ascii="Bookman Old Style" w:hAnsi="Bookman Old Style"/>
          <w:sz w:val="22"/>
          <w:szCs w:val="22"/>
          <w:lang w:val="es-ES"/>
        </w:rPr>
        <w:t xml:space="preserve"> eventos en los cuales su desconocimiento no debe ser </w:t>
      </w:r>
      <w:r w:rsidR="0025651C" w:rsidRPr="00B91E1C">
        <w:rPr>
          <w:rFonts w:ascii="Bookman Old Style" w:hAnsi="Bookman Old Style"/>
          <w:sz w:val="22"/>
          <w:szCs w:val="22"/>
          <w:lang w:val="es-ES"/>
        </w:rPr>
        <w:t>valorado</w:t>
      </w:r>
      <w:r w:rsidRPr="00B91E1C">
        <w:rPr>
          <w:rFonts w:ascii="Bookman Old Style" w:hAnsi="Bookman Old Style"/>
          <w:sz w:val="22"/>
          <w:szCs w:val="22"/>
          <w:lang w:val="es-ES"/>
        </w:rPr>
        <w:t xml:space="preserve"> con la dureza con que lo hizo la Sala Plena, sino con la </w:t>
      </w:r>
      <w:r w:rsidR="0025651C" w:rsidRPr="00B91E1C">
        <w:rPr>
          <w:rFonts w:ascii="Bookman Old Style" w:hAnsi="Bookman Old Style"/>
          <w:sz w:val="22"/>
          <w:szCs w:val="22"/>
          <w:lang w:val="es-ES"/>
        </w:rPr>
        <w:t>prudencia</w:t>
      </w:r>
      <w:r w:rsidRPr="00B91E1C">
        <w:rPr>
          <w:rFonts w:ascii="Bookman Old Style" w:hAnsi="Bookman Old Style"/>
          <w:sz w:val="22"/>
          <w:szCs w:val="22"/>
          <w:lang w:val="es-ES"/>
        </w:rPr>
        <w:t xml:space="preserve"> que reclama la justicia, de manera que sea posible considerar, caso a caso, por qué en cada situación no se perfeccionó el contrato antes de ejecutar las prestaciones que debían provenir de él.</w:t>
      </w:r>
    </w:p>
    <w:p w:rsidR="00D357E3" w:rsidRPr="00B91E1C" w:rsidRDefault="0025651C" w:rsidP="004A1855">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t>L</w:t>
      </w:r>
      <w:r w:rsidR="00D357E3" w:rsidRPr="00B91E1C">
        <w:rPr>
          <w:rFonts w:ascii="Bookman Old Style" w:hAnsi="Bookman Old Style"/>
          <w:sz w:val="22"/>
          <w:szCs w:val="22"/>
          <w:lang w:val="es-ES"/>
        </w:rPr>
        <w:t xml:space="preserve">a tensión </w:t>
      </w:r>
      <w:r w:rsidR="00166CBD" w:rsidRPr="00B91E1C">
        <w:rPr>
          <w:rFonts w:ascii="Bookman Old Style" w:hAnsi="Bookman Old Style"/>
          <w:i/>
          <w:sz w:val="22"/>
          <w:szCs w:val="22"/>
          <w:lang w:val="es-ES"/>
        </w:rPr>
        <w:t>legalidad–justicia</w:t>
      </w:r>
      <w:r w:rsidR="00166CBD" w:rsidRPr="00B91E1C">
        <w:rPr>
          <w:rFonts w:ascii="Bookman Old Style" w:hAnsi="Bookman Old Style"/>
          <w:sz w:val="22"/>
          <w:szCs w:val="22"/>
          <w:lang w:val="es-ES"/>
        </w:rPr>
        <w:t xml:space="preserve"> es la que mejor representa a qu</w:t>
      </w:r>
      <w:r w:rsidR="00D023A4">
        <w:rPr>
          <w:rFonts w:ascii="Bookman Old Style" w:hAnsi="Bookman Old Style"/>
          <w:sz w:val="22"/>
          <w:szCs w:val="22"/>
          <w:lang w:val="es-ES"/>
        </w:rPr>
        <w:t>i</w:t>
      </w:r>
      <w:r w:rsidR="00166CBD" w:rsidRPr="00B91E1C">
        <w:rPr>
          <w:rFonts w:ascii="Bookman Old Style" w:hAnsi="Bookman Old Style"/>
          <w:sz w:val="22"/>
          <w:szCs w:val="22"/>
          <w:lang w:val="es-ES"/>
        </w:rPr>
        <w:t>e</w:t>
      </w:r>
      <w:r w:rsidR="00D023A4">
        <w:rPr>
          <w:rFonts w:ascii="Bookman Old Style" w:hAnsi="Bookman Old Style"/>
          <w:sz w:val="22"/>
          <w:szCs w:val="22"/>
          <w:lang w:val="es-ES"/>
        </w:rPr>
        <w:t>nes</w:t>
      </w:r>
      <w:r w:rsidR="00166CBD" w:rsidRPr="00B91E1C">
        <w:rPr>
          <w:rFonts w:ascii="Bookman Old Style" w:hAnsi="Bookman Old Style"/>
          <w:sz w:val="22"/>
          <w:szCs w:val="22"/>
          <w:lang w:val="es-ES"/>
        </w:rPr>
        <w:t xml:space="preserve"> difieren en </w:t>
      </w:r>
      <w:r w:rsidR="00C9385F">
        <w:rPr>
          <w:rFonts w:ascii="Bookman Old Style" w:hAnsi="Bookman Old Style"/>
          <w:sz w:val="22"/>
          <w:szCs w:val="22"/>
          <w:lang w:val="es-ES"/>
        </w:rPr>
        <w:t xml:space="preserve">cuanto a </w:t>
      </w:r>
      <w:r w:rsidR="00166CBD" w:rsidRPr="00B91E1C">
        <w:rPr>
          <w:rFonts w:ascii="Bookman Old Style" w:hAnsi="Bookman Old Style"/>
          <w:sz w:val="22"/>
          <w:szCs w:val="22"/>
          <w:lang w:val="es-ES"/>
        </w:rPr>
        <w:t xml:space="preserve">la manera de resolver los conflictos de enriquecimiento sin causa de tipo contractual. Quienes </w:t>
      </w:r>
      <w:r w:rsidR="001801C7" w:rsidRPr="00B91E1C">
        <w:rPr>
          <w:rFonts w:ascii="Bookman Old Style" w:hAnsi="Bookman Old Style"/>
          <w:sz w:val="22"/>
          <w:szCs w:val="22"/>
          <w:lang w:val="es-ES"/>
        </w:rPr>
        <w:t>exigen respecto máximo</w:t>
      </w:r>
      <w:r w:rsidR="001801C7">
        <w:rPr>
          <w:rFonts w:ascii="Bookman Old Style" w:hAnsi="Bookman Old Style"/>
          <w:sz w:val="22"/>
          <w:szCs w:val="22"/>
          <w:lang w:val="es-ES"/>
        </w:rPr>
        <w:t>,</w:t>
      </w:r>
      <w:r w:rsidR="001801C7" w:rsidRPr="001801C7">
        <w:rPr>
          <w:rFonts w:ascii="Bookman Old Style" w:hAnsi="Bookman Old Style"/>
          <w:sz w:val="22"/>
          <w:szCs w:val="22"/>
          <w:lang w:val="es-ES"/>
        </w:rPr>
        <w:t xml:space="preserve"> </w:t>
      </w:r>
      <w:r w:rsidR="001801C7" w:rsidRPr="00B91E1C">
        <w:rPr>
          <w:rFonts w:ascii="Bookman Old Style" w:hAnsi="Bookman Old Style"/>
          <w:sz w:val="22"/>
          <w:szCs w:val="22"/>
          <w:lang w:val="es-ES"/>
        </w:rPr>
        <w:t xml:space="preserve">superlativo, a la normativa de la Ley 80 </w:t>
      </w:r>
      <w:r w:rsidR="00166CBD" w:rsidRPr="00B91E1C">
        <w:rPr>
          <w:rFonts w:ascii="Bookman Old Style" w:hAnsi="Bookman Old Style"/>
          <w:sz w:val="22"/>
          <w:szCs w:val="22"/>
          <w:lang w:val="es-ES"/>
        </w:rPr>
        <w:t>–como la sentencia de unificación–, pertenecen a</w:t>
      </w:r>
      <w:r w:rsidRPr="00B91E1C">
        <w:rPr>
          <w:rFonts w:ascii="Bookman Old Style" w:hAnsi="Bookman Old Style"/>
          <w:sz w:val="22"/>
          <w:szCs w:val="22"/>
          <w:lang w:val="es-ES"/>
        </w:rPr>
        <w:t xml:space="preserve">l grupo de defensores de </w:t>
      </w:r>
      <w:r w:rsidR="00166CBD" w:rsidRPr="00B91E1C">
        <w:rPr>
          <w:rFonts w:ascii="Bookman Old Style" w:hAnsi="Bookman Old Style"/>
          <w:sz w:val="22"/>
          <w:szCs w:val="22"/>
          <w:lang w:val="es-ES"/>
        </w:rPr>
        <w:t>la legalidad como parámetro de solución de est</w:t>
      </w:r>
      <w:r w:rsidR="00D023A4">
        <w:rPr>
          <w:rFonts w:ascii="Bookman Old Style" w:hAnsi="Bookman Old Style"/>
          <w:sz w:val="22"/>
          <w:szCs w:val="22"/>
          <w:lang w:val="es-ES"/>
        </w:rPr>
        <w:t>os</w:t>
      </w:r>
      <w:r w:rsidR="00166CBD" w:rsidRPr="00B91E1C">
        <w:rPr>
          <w:rFonts w:ascii="Bookman Old Style" w:hAnsi="Bookman Old Style"/>
          <w:sz w:val="22"/>
          <w:szCs w:val="22"/>
          <w:lang w:val="es-ES"/>
        </w:rPr>
        <w:t xml:space="preserve"> conflictos</w:t>
      </w:r>
      <w:r w:rsidRPr="00B91E1C">
        <w:rPr>
          <w:rFonts w:ascii="Bookman Old Style" w:hAnsi="Bookman Old Style"/>
          <w:sz w:val="22"/>
          <w:szCs w:val="22"/>
          <w:lang w:val="es-ES"/>
        </w:rPr>
        <w:t xml:space="preserve">. Y </w:t>
      </w:r>
      <w:r w:rsidR="00166CBD" w:rsidRPr="00B91E1C">
        <w:rPr>
          <w:rFonts w:ascii="Bookman Old Style" w:hAnsi="Bookman Old Style"/>
          <w:sz w:val="22"/>
          <w:szCs w:val="22"/>
          <w:lang w:val="es-ES"/>
        </w:rPr>
        <w:t xml:space="preserve">no les falta razón en </w:t>
      </w:r>
      <w:r w:rsidR="00166CBD" w:rsidRPr="00B91E1C">
        <w:rPr>
          <w:rFonts w:ascii="Bookman Old Style" w:hAnsi="Bookman Old Style"/>
          <w:sz w:val="22"/>
          <w:szCs w:val="22"/>
          <w:lang w:val="es-ES"/>
        </w:rPr>
        <w:lastRenderedPageBreak/>
        <w:t xml:space="preserve">su defensa, porque </w:t>
      </w:r>
      <w:r w:rsidRPr="00B91E1C">
        <w:rPr>
          <w:rFonts w:ascii="Bookman Old Style" w:hAnsi="Bookman Old Style"/>
          <w:sz w:val="22"/>
          <w:szCs w:val="22"/>
          <w:lang w:val="es-ES"/>
        </w:rPr>
        <w:t>¿</w:t>
      </w:r>
      <w:r w:rsidR="00166CBD" w:rsidRPr="00B91E1C">
        <w:rPr>
          <w:rFonts w:ascii="Bookman Old Style" w:hAnsi="Bookman Old Style"/>
          <w:sz w:val="22"/>
          <w:szCs w:val="22"/>
          <w:lang w:val="es-ES"/>
        </w:rPr>
        <w:t xml:space="preserve">quién no </w:t>
      </w:r>
      <w:r w:rsidR="00C9385F">
        <w:rPr>
          <w:rFonts w:ascii="Bookman Old Style" w:hAnsi="Bookman Old Style"/>
          <w:sz w:val="22"/>
          <w:szCs w:val="22"/>
          <w:lang w:val="es-ES"/>
        </w:rPr>
        <w:t>desea</w:t>
      </w:r>
      <w:r w:rsidR="00D023A4">
        <w:rPr>
          <w:rFonts w:ascii="Bookman Old Style" w:hAnsi="Bookman Old Style"/>
          <w:sz w:val="22"/>
          <w:szCs w:val="22"/>
          <w:lang w:val="es-ES"/>
        </w:rPr>
        <w:t xml:space="preserve"> </w:t>
      </w:r>
      <w:r w:rsidR="00166CBD" w:rsidRPr="00B91E1C">
        <w:rPr>
          <w:rFonts w:ascii="Bookman Old Style" w:hAnsi="Bookman Old Style"/>
          <w:sz w:val="22"/>
          <w:szCs w:val="22"/>
          <w:lang w:val="es-ES"/>
        </w:rPr>
        <w:t xml:space="preserve">que la Administración y los ciudadanos </w:t>
      </w:r>
      <w:r w:rsidR="00D023A4">
        <w:rPr>
          <w:rFonts w:ascii="Bookman Old Style" w:hAnsi="Bookman Old Style"/>
          <w:sz w:val="22"/>
          <w:szCs w:val="22"/>
          <w:lang w:val="es-ES"/>
        </w:rPr>
        <w:t xml:space="preserve">la </w:t>
      </w:r>
      <w:r w:rsidR="00166CBD" w:rsidRPr="00B91E1C">
        <w:rPr>
          <w:rFonts w:ascii="Bookman Old Style" w:hAnsi="Bookman Old Style"/>
          <w:sz w:val="22"/>
          <w:szCs w:val="22"/>
          <w:lang w:val="es-ES"/>
        </w:rPr>
        <w:t>apliquen</w:t>
      </w:r>
      <w:r w:rsidRPr="00B91E1C">
        <w:rPr>
          <w:rFonts w:ascii="Bookman Old Style" w:hAnsi="Bookman Old Style"/>
          <w:sz w:val="22"/>
          <w:szCs w:val="22"/>
          <w:lang w:val="es-ES"/>
        </w:rPr>
        <w:t xml:space="preserve"> rigurosamente?</w:t>
      </w:r>
      <w:r w:rsidR="00166CBD" w:rsidRPr="00B91E1C">
        <w:rPr>
          <w:rFonts w:ascii="Bookman Old Style" w:hAnsi="Bookman Old Style"/>
          <w:sz w:val="22"/>
          <w:szCs w:val="22"/>
          <w:lang w:val="es-ES"/>
        </w:rPr>
        <w:t xml:space="preserve"> </w:t>
      </w:r>
    </w:p>
    <w:p w:rsidR="003069F7" w:rsidRPr="00B91E1C" w:rsidRDefault="0025651C" w:rsidP="004A1855">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t xml:space="preserve">Sin embargo, la </w:t>
      </w:r>
      <w:r w:rsidR="00D023A4">
        <w:rPr>
          <w:rFonts w:ascii="Bookman Old Style" w:hAnsi="Bookman Old Style"/>
          <w:sz w:val="22"/>
          <w:szCs w:val="22"/>
          <w:lang w:val="es-ES"/>
        </w:rPr>
        <w:t xml:space="preserve">inocultable </w:t>
      </w:r>
      <w:r w:rsidRPr="00B91E1C">
        <w:rPr>
          <w:rFonts w:ascii="Bookman Old Style" w:hAnsi="Bookman Old Style"/>
          <w:sz w:val="22"/>
          <w:szCs w:val="22"/>
          <w:lang w:val="es-ES"/>
        </w:rPr>
        <w:t xml:space="preserve">existencia de supuestos que invalidan la anterior idea hace flaquear la premisa –aparentemente imperturbable– que sirve de punto de partida. La posibilidad de que existan </w:t>
      </w:r>
      <w:r w:rsidR="006A48E6" w:rsidRPr="00B91E1C">
        <w:rPr>
          <w:rFonts w:ascii="Bookman Old Style" w:hAnsi="Bookman Old Style" w:cs="Tahoma"/>
          <w:sz w:val="22"/>
          <w:szCs w:val="22"/>
          <w:lang w:val="es-ES"/>
        </w:rPr>
        <w:t>«</w:t>
      </w:r>
      <w:r w:rsidRPr="00B91E1C">
        <w:rPr>
          <w:rFonts w:ascii="Bookman Old Style" w:hAnsi="Bookman Old Style"/>
          <w:i/>
          <w:sz w:val="22"/>
          <w:szCs w:val="22"/>
          <w:lang w:val="es-ES"/>
        </w:rPr>
        <w:t>casos justificados</w:t>
      </w:r>
      <w:r w:rsidR="006A48E6" w:rsidRPr="00B91E1C">
        <w:rPr>
          <w:rFonts w:ascii="Bookman Old Style" w:hAnsi="Bookman Old Style" w:cs="Tahoma"/>
          <w:sz w:val="22"/>
          <w:szCs w:val="22"/>
          <w:lang w:val="es-ES"/>
        </w:rPr>
        <w:t>»</w:t>
      </w:r>
      <w:r w:rsidRPr="00B91E1C">
        <w:rPr>
          <w:rFonts w:ascii="Bookman Old Style" w:hAnsi="Bookman Old Style"/>
          <w:sz w:val="22"/>
          <w:szCs w:val="22"/>
          <w:lang w:val="es-ES"/>
        </w:rPr>
        <w:t xml:space="preserve"> de violación a la norma contractual </w:t>
      </w:r>
      <w:r w:rsidR="00C9385F">
        <w:rPr>
          <w:rFonts w:ascii="Bookman Old Style" w:hAnsi="Bookman Old Style"/>
          <w:sz w:val="22"/>
          <w:szCs w:val="22"/>
          <w:lang w:val="es-ES"/>
        </w:rPr>
        <w:t>autoriza</w:t>
      </w:r>
      <w:r w:rsidRPr="00B91E1C">
        <w:rPr>
          <w:rFonts w:ascii="Bookman Old Style" w:hAnsi="Bookman Old Style"/>
          <w:sz w:val="22"/>
          <w:szCs w:val="22"/>
          <w:lang w:val="es-ES"/>
        </w:rPr>
        <w:t xml:space="preserve"> que se </w:t>
      </w:r>
      <w:r w:rsidR="00D023A4">
        <w:rPr>
          <w:rFonts w:ascii="Bookman Old Style" w:hAnsi="Bookman Old Style"/>
          <w:sz w:val="22"/>
          <w:szCs w:val="22"/>
          <w:lang w:val="es-ES"/>
        </w:rPr>
        <w:t>le pague</w:t>
      </w:r>
      <w:r w:rsidRPr="00B91E1C">
        <w:rPr>
          <w:rFonts w:ascii="Bookman Old Style" w:hAnsi="Bookman Old Style"/>
          <w:sz w:val="22"/>
          <w:szCs w:val="22"/>
          <w:lang w:val="es-ES"/>
        </w:rPr>
        <w:t xml:space="preserve"> a quien hizo, dio o entregó algo sin contrato previo. Es el caso de </w:t>
      </w:r>
      <w:r w:rsidR="00FA2FA1" w:rsidRPr="00B91E1C">
        <w:rPr>
          <w:rFonts w:ascii="Bookman Old Style" w:hAnsi="Bookman Old Style"/>
          <w:sz w:val="22"/>
          <w:szCs w:val="22"/>
          <w:lang w:val="es-ES"/>
        </w:rPr>
        <w:t>una persona con escasa formación académica llamada a trabajar a</w:t>
      </w:r>
      <w:r w:rsidR="0014447D">
        <w:rPr>
          <w:rFonts w:ascii="Bookman Old Style" w:hAnsi="Bookman Old Style"/>
          <w:sz w:val="22"/>
          <w:szCs w:val="22"/>
          <w:lang w:val="es-ES"/>
        </w:rPr>
        <w:t xml:space="preserve"> una entidad estatal </w:t>
      </w:r>
      <w:r w:rsidR="00D023A4">
        <w:rPr>
          <w:rFonts w:ascii="Bookman Old Style" w:hAnsi="Bookman Old Style"/>
          <w:sz w:val="22"/>
          <w:szCs w:val="22"/>
          <w:lang w:val="es-ES"/>
        </w:rPr>
        <w:t>antes de firmar el contrato</w:t>
      </w:r>
      <w:r w:rsidR="00FA2FA1" w:rsidRPr="00B91E1C">
        <w:rPr>
          <w:rFonts w:ascii="Bookman Old Style" w:hAnsi="Bookman Old Style"/>
          <w:sz w:val="22"/>
          <w:szCs w:val="22"/>
          <w:lang w:val="es-ES"/>
        </w:rPr>
        <w:t>. Si presta sus servicios, durante uno o muchos días, no hay duda de que viola la Ley 80, ¿pero acaso lo sabe? ¿el Municipio</w:t>
      </w:r>
      <w:r w:rsidR="00D023A4">
        <w:rPr>
          <w:rFonts w:ascii="Bookman Old Style" w:hAnsi="Bookman Old Style"/>
          <w:sz w:val="22"/>
          <w:szCs w:val="22"/>
          <w:lang w:val="es-ES"/>
        </w:rPr>
        <w:t xml:space="preserve">, </w:t>
      </w:r>
      <w:r w:rsidR="00D023A4" w:rsidRPr="00B91E1C">
        <w:rPr>
          <w:rFonts w:ascii="Bookman Old Style" w:hAnsi="Bookman Old Style"/>
          <w:sz w:val="22"/>
          <w:szCs w:val="22"/>
          <w:lang w:val="es-ES"/>
        </w:rPr>
        <w:t xml:space="preserve">que sí conoce </w:t>
      </w:r>
      <w:r w:rsidR="00C9385F">
        <w:rPr>
          <w:rFonts w:ascii="Bookman Old Style" w:hAnsi="Bookman Old Style"/>
          <w:sz w:val="22"/>
          <w:szCs w:val="22"/>
          <w:lang w:val="es-ES"/>
        </w:rPr>
        <w:t>el</w:t>
      </w:r>
      <w:r w:rsidR="00D023A4" w:rsidRPr="00B91E1C">
        <w:rPr>
          <w:rFonts w:ascii="Bookman Old Style" w:hAnsi="Bookman Old Style"/>
          <w:sz w:val="22"/>
          <w:szCs w:val="22"/>
          <w:lang w:val="es-ES"/>
        </w:rPr>
        <w:t xml:space="preserve"> derecho y </w:t>
      </w:r>
      <w:r w:rsidR="00C9385F">
        <w:rPr>
          <w:rFonts w:ascii="Bookman Old Style" w:hAnsi="Bookman Old Style"/>
          <w:sz w:val="22"/>
          <w:szCs w:val="22"/>
          <w:lang w:val="es-ES"/>
        </w:rPr>
        <w:t>el</w:t>
      </w:r>
      <w:r w:rsidR="00D023A4" w:rsidRPr="00B91E1C">
        <w:rPr>
          <w:rFonts w:ascii="Bookman Old Style" w:hAnsi="Bookman Old Style"/>
          <w:sz w:val="22"/>
          <w:szCs w:val="22"/>
          <w:lang w:val="es-ES"/>
        </w:rPr>
        <w:t xml:space="preserve"> procedimiento contractual</w:t>
      </w:r>
      <w:r w:rsidR="00D023A4">
        <w:rPr>
          <w:rFonts w:ascii="Bookman Old Style" w:hAnsi="Bookman Old Style"/>
          <w:sz w:val="22"/>
          <w:szCs w:val="22"/>
          <w:lang w:val="es-ES"/>
        </w:rPr>
        <w:t>, n</w:t>
      </w:r>
      <w:r w:rsidR="00D023A4" w:rsidRPr="00B91E1C">
        <w:rPr>
          <w:rFonts w:ascii="Bookman Old Style" w:hAnsi="Bookman Old Style"/>
          <w:sz w:val="22"/>
          <w:szCs w:val="22"/>
          <w:lang w:val="es-ES"/>
        </w:rPr>
        <w:t xml:space="preserve">o abusa </w:t>
      </w:r>
      <w:r w:rsidR="00FA2FA1" w:rsidRPr="00B91E1C">
        <w:rPr>
          <w:rFonts w:ascii="Bookman Old Style" w:hAnsi="Bookman Old Style"/>
          <w:sz w:val="22"/>
          <w:szCs w:val="22"/>
          <w:lang w:val="es-ES"/>
        </w:rPr>
        <w:t xml:space="preserve">de esa persona? En nuestro criterio, en hipótesis </w:t>
      </w:r>
      <w:r w:rsidR="00D023A4">
        <w:rPr>
          <w:rFonts w:ascii="Bookman Old Style" w:hAnsi="Bookman Old Style"/>
          <w:sz w:val="22"/>
          <w:szCs w:val="22"/>
          <w:lang w:val="es-ES"/>
        </w:rPr>
        <w:t xml:space="preserve">como esta </w:t>
      </w:r>
      <w:r w:rsidR="00FA2FA1" w:rsidRPr="00B91E1C">
        <w:rPr>
          <w:rFonts w:ascii="Bookman Old Style" w:hAnsi="Bookman Old Style"/>
          <w:sz w:val="22"/>
          <w:szCs w:val="22"/>
          <w:lang w:val="es-ES"/>
        </w:rPr>
        <w:t>la entidad debe asumir las consecuencias</w:t>
      </w:r>
      <w:r w:rsidR="00D023A4">
        <w:rPr>
          <w:rFonts w:ascii="Bookman Old Style" w:hAnsi="Bookman Old Style"/>
          <w:sz w:val="22"/>
          <w:szCs w:val="22"/>
          <w:lang w:val="es-ES"/>
        </w:rPr>
        <w:t xml:space="preserve"> de violar la ley</w:t>
      </w:r>
      <w:r w:rsidR="00FA2FA1" w:rsidRPr="00B91E1C">
        <w:rPr>
          <w:rFonts w:ascii="Bookman Old Style" w:hAnsi="Bookman Old Style"/>
          <w:sz w:val="22"/>
          <w:szCs w:val="22"/>
          <w:lang w:val="es-ES"/>
        </w:rPr>
        <w:t xml:space="preserve">: pagar </w:t>
      </w:r>
      <w:r w:rsidR="000A5CD4">
        <w:rPr>
          <w:rFonts w:ascii="Bookman Old Style" w:hAnsi="Bookman Old Style"/>
          <w:sz w:val="22"/>
          <w:szCs w:val="22"/>
          <w:lang w:val="es-ES"/>
        </w:rPr>
        <w:t xml:space="preserve">por </w:t>
      </w:r>
      <w:r w:rsidR="00FA2FA1" w:rsidRPr="00B91E1C">
        <w:rPr>
          <w:rFonts w:ascii="Bookman Old Style" w:hAnsi="Bookman Old Style"/>
          <w:sz w:val="22"/>
          <w:szCs w:val="22"/>
          <w:lang w:val="es-ES"/>
        </w:rPr>
        <w:t xml:space="preserve">la prestación recibida y también soportar la responsabilidad disciplinaria </w:t>
      </w:r>
      <w:r w:rsidR="00C9385F">
        <w:rPr>
          <w:rFonts w:ascii="Bookman Old Style" w:hAnsi="Bookman Old Style"/>
          <w:sz w:val="22"/>
          <w:szCs w:val="22"/>
          <w:lang w:val="es-ES"/>
        </w:rPr>
        <w:t xml:space="preserve">y fiscal </w:t>
      </w:r>
      <w:r w:rsidR="00FA2FA1" w:rsidRPr="00B91E1C">
        <w:rPr>
          <w:rFonts w:ascii="Bookman Old Style" w:hAnsi="Bookman Old Style"/>
          <w:sz w:val="22"/>
          <w:szCs w:val="22"/>
          <w:lang w:val="es-ES"/>
        </w:rPr>
        <w:t>por violar las normas.</w:t>
      </w:r>
      <w:r w:rsidR="00354633">
        <w:rPr>
          <w:rFonts w:ascii="Bookman Old Style" w:hAnsi="Bookman Old Style"/>
          <w:sz w:val="22"/>
          <w:szCs w:val="22"/>
          <w:lang w:val="es-ES"/>
        </w:rPr>
        <w:t xml:space="preserve"> De esta forma, la </w:t>
      </w:r>
      <w:r w:rsidR="00C9385F">
        <w:rPr>
          <w:rFonts w:ascii="Bookman Old Style" w:hAnsi="Bookman Old Style"/>
          <w:sz w:val="22"/>
          <w:szCs w:val="22"/>
          <w:lang w:val="es-ES"/>
        </w:rPr>
        <w:t>i</w:t>
      </w:r>
      <w:r w:rsidR="00354633">
        <w:rPr>
          <w:rFonts w:ascii="Bookman Old Style" w:hAnsi="Bookman Old Style"/>
          <w:sz w:val="22"/>
          <w:szCs w:val="22"/>
          <w:lang w:val="es-ES"/>
        </w:rPr>
        <w:t xml:space="preserve">legalidad </w:t>
      </w:r>
      <w:r w:rsidR="00C9385F">
        <w:rPr>
          <w:rFonts w:ascii="Bookman Old Style" w:hAnsi="Bookman Old Style"/>
          <w:sz w:val="22"/>
          <w:szCs w:val="22"/>
          <w:lang w:val="es-ES"/>
        </w:rPr>
        <w:t xml:space="preserve">no </w:t>
      </w:r>
      <w:r w:rsidR="00354633">
        <w:rPr>
          <w:rFonts w:ascii="Bookman Old Style" w:hAnsi="Bookman Old Style"/>
          <w:sz w:val="22"/>
          <w:szCs w:val="22"/>
          <w:lang w:val="es-ES"/>
        </w:rPr>
        <w:t>qued</w:t>
      </w:r>
      <w:r w:rsidR="00C9385F">
        <w:rPr>
          <w:rFonts w:ascii="Bookman Old Style" w:hAnsi="Bookman Old Style"/>
          <w:sz w:val="22"/>
          <w:szCs w:val="22"/>
          <w:lang w:val="es-ES"/>
        </w:rPr>
        <w:t>a</w:t>
      </w:r>
      <w:r w:rsidR="00354633">
        <w:rPr>
          <w:rFonts w:ascii="Bookman Old Style" w:hAnsi="Bookman Old Style"/>
          <w:sz w:val="22"/>
          <w:szCs w:val="22"/>
          <w:lang w:val="es-ES"/>
        </w:rPr>
        <w:t xml:space="preserve"> impune, sino que se persigue contra uno de los que la omitió</w:t>
      </w:r>
      <w:r w:rsidR="00C75AAE">
        <w:rPr>
          <w:rFonts w:ascii="Bookman Old Style" w:hAnsi="Bookman Old Style"/>
          <w:sz w:val="22"/>
          <w:szCs w:val="22"/>
          <w:lang w:val="es-ES"/>
        </w:rPr>
        <w:t xml:space="preserve">: </w:t>
      </w:r>
      <w:r w:rsidR="0014447D">
        <w:rPr>
          <w:rFonts w:ascii="Bookman Old Style" w:hAnsi="Bookman Old Style"/>
          <w:sz w:val="22"/>
          <w:szCs w:val="22"/>
          <w:lang w:val="es-ES"/>
        </w:rPr>
        <w:t xml:space="preserve">el que </w:t>
      </w:r>
      <w:r w:rsidR="00354633">
        <w:rPr>
          <w:rFonts w:ascii="Bookman Old Style" w:hAnsi="Bookman Old Style"/>
          <w:sz w:val="22"/>
          <w:szCs w:val="22"/>
          <w:lang w:val="es-ES"/>
        </w:rPr>
        <w:t>deb</w:t>
      </w:r>
      <w:r w:rsidR="0014447D">
        <w:rPr>
          <w:rFonts w:ascii="Bookman Old Style" w:hAnsi="Bookman Old Style"/>
          <w:sz w:val="22"/>
          <w:szCs w:val="22"/>
          <w:lang w:val="es-ES"/>
        </w:rPr>
        <w:t>a</w:t>
      </w:r>
      <w:r w:rsidR="00354633">
        <w:rPr>
          <w:rFonts w:ascii="Bookman Old Style" w:hAnsi="Bookman Old Style"/>
          <w:sz w:val="22"/>
          <w:szCs w:val="22"/>
          <w:lang w:val="es-ES"/>
        </w:rPr>
        <w:t xml:space="preserve"> conocerla.</w:t>
      </w:r>
    </w:p>
    <w:p w:rsidR="0025651C" w:rsidRPr="00B91E1C" w:rsidRDefault="00FA2FA1" w:rsidP="004A1855">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t>La sentencia de unificación</w:t>
      </w:r>
      <w:r w:rsidR="002B2E2F">
        <w:rPr>
          <w:rFonts w:ascii="Bookman Old Style" w:hAnsi="Bookman Old Style"/>
          <w:sz w:val="22"/>
          <w:szCs w:val="22"/>
          <w:lang w:val="es-ES"/>
        </w:rPr>
        <w:t>, en sentido contrario,</w:t>
      </w:r>
      <w:r w:rsidRPr="00B91E1C">
        <w:rPr>
          <w:rFonts w:ascii="Bookman Old Style" w:hAnsi="Bookman Old Style"/>
          <w:sz w:val="22"/>
          <w:szCs w:val="22"/>
          <w:lang w:val="es-ES"/>
        </w:rPr>
        <w:t xml:space="preserve"> p</w:t>
      </w:r>
      <w:r w:rsidR="002B2E2F">
        <w:rPr>
          <w:rFonts w:ascii="Bookman Old Style" w:hAnsi="Bookman Old Style"/>
          <w:sz w:val="22"/>
          <w:szCs w:val="22"/>
          <w:lang w:val="es-ES"/>
        </w:rPr>
        <w:t xml:space="preserve">uso </w:t>
      </w:r>
      <w:r w:rsidRPr="00B91E1C">
        <w:rPr>
          <w:rFonts w:ascii="Bookman Old Style" w:hAnsi="Bookman Old Style"/>
          <w:sz w:val="22"/>
          <w:szCs w:val="22"/>
          <w:lang w:val="es-ES"/>
        </w:rPr>
        <w:t xml:space="preserve">la atención en la violación </w:t>
      </w:r>
      <w:r w:rsidR="002B2E2F">
        <w:rPr>
          <w:rFonts w:ascii="Bookman Old Style" w:hAnsi="Bookman Old Style"/>
          <w:sz w:val="22"/>
          <w:szCs w:val="22"/>
          <w:lang w:val="es-ES"/>
        </w:rPr>
        <w:t>objetiva de</w:t>
      </w:r>
      <w:r w:rsidRPr="00B91E1C">
        <w:rPr>
          <w:rFonts w:ascii="Bookman Old Style" w:hAnsi="Bookman Old Style"/>
          <w:sz w:val="22"/>
          <w:szCs w:val="22"/>
          <w:lang w:val="es-ES"/>
        </w:rPr>
        <w:t xml:space="preserve"> la Ley 80 de 1993, sin importar las condiciones en la que se produjo, </w:t>
      </w:r>
      <w:r w:rsidR="002B2E2F">
        <w:rPr>
          <w:rFonts w:ascii="Bookman Old Style" w:hAnsi="Bookman Old Style"/>
          <w:sz w:val="22"/>
          <w:szCs w:val="22"/>
          <w:lang w:val="es-ES"/>
        </w:rPr>
        <w:t xml:space="preserve">de allí que </w:t>
      </w:r>
      <w:r w:rsidRPr="00B91E1C">
        <w:rPr>
          <w:rFonts w:ascii="Bookman Old Style" w:hAnsi="Bookman Old Style"/>
          <w:sz w:val="22"/>
          <w:szCs w:val="22"/>
          <w:lang w:val="es-ES"/>
        </w:rPr>
        <w:t xml:space="preserve">declara que lo </w:t>
      </w:r>
      <w:r w:rsidR="00FB324F" w:rsidRPr="00B91E1C">
        <w:rPr>
          <w:rFonts w:ascii="Bookman Old Style" w:hAnsi="Bookman Old Style"/>
          <w:sz w:val="22"/>
          <w:szCs w:val="22"/>
          <w:lang w:val="es-ES"/>
        </w:rPr>
        <w:t>definitivo</w:t>
      </w:r>
      <w:r w:rsidRPr="00B91E1C">
        <w:rPr>
          <w:rFonts w:ascii="Bookman Old Style" w:hAnsi="Bookman Old Style"/>
          <w:sz w:val="22"/>
          <w:szCs w:val="22"/>
          <w:lang w:val="es-ES"/>
        </w:rPr>
        <w:t xml:space="preserve"> no es la </w:t>
      </w:r>
      <w:r w:rsidRPr="00B91E1C">
        <w:rPr>
          <w:rFonts w:ascii="Bookman Old Style" w:hAnsi="Bookman Old Style"/>
          <w:i/>
          <w:sz w:val="22"/>
          <w:szCs w:val="22"/>
          <w:lang w:val="es-ES"/>
        </w:rPr>
        <w:t>buena fe subjetiva</w:t>
      </w:r>
      <w:r w:rsidRPr="00B91E1C">
        <w:rPr>
          <w:rFonts w:ascii="Bookman Old Style" w:hAnsi="Bookman Old Style"/>
          <w:sz w:val="22"/>
          <w:szCs w:val="22"/>
          <w:lang w:val="es-ES"/>
        </w:rPr>
        <w:t xml:space="preserve"> </w:t>
      </w:r>
      <w:r w:rsidR="00C9385F">
        <w:rPr>
          <w:rFonts w:ascii="Bookman Old Style" w:hAnsi="Bookman Old Style"/>
          <w:sz w:val="22"/>
          <w:szCs w:val="22"/>
          <w:lang w:val="es-ES"/>
        </w:rPr>
        <w:t xml:space="preserve">del particular </w:t>
      </w:r>
      <w:r w:rsidRPr="00B91E1C">
        <w:rPr>
          <w:rFonts w:ascii="Bookman Old Style" w:hAnsi="Bookman Old Style"/>
          <w:sz w:val="22"/>
          <w:szCs w:val="22"/>
          <w:lang w:val="es-ES"/>
        </w:rPr>
        <w:t xml:space="preserve">sino </w:t>
      </w:r>
      <w:r w:rsidR="00C9385F">
        <w:rPr>
          <w:rFonts w:ascii="Bookman Old Style" w:hAnsi="Bookman Old Style"/>
          <w:sz w:val="22"/>
          <w:szCs w:val="22"/>
          <w:lang w:val="es-ES"/>
        </w:rPr>
        <w:t>su</w:t>
      </w:r>
      <w:r w:rsidRPr="00B91E1C">
        <w:rPr>
          <w:rFonts w:ascii="Bookman Old Style" w:hAnsi="Bookman Old Style"/>
          <w:sz w:val="22"/>
          <w:szCs w:val="22"/>
          <w:lang w:val="es-ES"/>
        </w:rPr>
        <w:t xml:space="preserve"> </w:t>
      </w:r>
      <w:r w:rsidRPr="00B91E1C">
        <w:rPr>
          <w:rFonts w:ascii="Bookman Old Style" w:hAnsi="Bookman Old Style"/>
          <w:i/>
          <w:sz w:val="22"/>
          <w:szCs w:val="22"/>
          <w:lang w:val="es-ES"/>
        </w:rPr>
        <w:t>buena fe objetiva</w:t>
      </w:r>
      <w:r w:rsidRPr="00B91E1C">
        <w:rPr>
          <w:rFonts w:ascii="Bookman Old Style" w:hAnsi="Bookman Old Style"/>
          <w:sz w:val="22"/>
          <w:szCs w:val="22"/>
          <w:lang w:val="es-ES"/>
        </w:rPr>
        <w:t xml:space="preserve">, </w:t>
      </w:r>
      <w:r w:rsidR="002B2E2F">
        <w:rPr>
          <w:rFonts w:ascii="Bookman Old Style" w:hAnsi="Bookman Old Style"/>
          <w:sz w:val="22"/>
          <w:szCs w:val="22"/>
          <w:lang w:val="es-ES"/>
        </w:rPr>
        <w:t>sin</w:t>
      </w:r>
      <w:r w:rsidRPr="00B91E1C">
        <w:rPr>
          <w:rFonts w:ascii="Bookman Old Style" w:hAnsi="Bookman Old Style"/>
          <w:sz w:val="22"/>
          <w:szCs w:val="22"/>
          <w:lang w:val="es-ES"/>
        </w:rPr>
        <w:t xml:space="preserve"> mira</w:t>
      </w:r>
      <w:r w:rsidR="002B2E2F">
        <w:rPr>
          <w:rFonts w:ascii="Bookman Old Style" w:hAnsi="Bookman Old Style"/>
          <w:sz w:val="22"/>
          <w:szCs w:val="22"/>
          <w:lang w:val="es-ES"/>
        </w:rPr>
        <w:t>r</w:t>
      </w:r>
      <w:r w:rsidRPr="00B91E1C">
        <w:rPr>
          <w:rFonts w:ascii="Bookman Old Style" w:hAnsi="Bookman Old Style"/>
          <w:sz w:val="22"/>
          <w:szCs w:val="22"/>
          <w:lang w:val="es-ES"/>
        </w:rPr>
        <w:t xml:space="preserve"> la justicia del caso sino la legalidad desconocida. De alguna manera</w:t>
      </w:r>
      <w:r w:rsidR="007D6686" w:rsidRPr="00B91E1C">
        <w:rPr>
          <w:rFonts w:ascii="Bookman Old Style" w:hAnsi="Bookman Old Style"/>
          <w:sz w:val="22"/>
          <w:szCs w:val="22"/>
          <w:lang w:val="es-ES"/>
        </w:rPr>
        <w:t>,</w:t>
      </w:r>
      <w:r w:rsidRPr="00B91E1C">
        <w:rPr>
          <w:rFonts w:ascii="Bookman Old Style" w:hAnsi="Bookman Old Style"/>
          <w:sz w:val="22"/>
          <w:szCs w:val="22"/>
          <w:lang w:val="es-ES"/>
        </w:rPr>
        <w:t xml:space="preserve"> </w:t>
      </w:r>
      <w:r w:rsidR="003778B3">
        <w:rPr>
          <w:rFonts w:ascii="Bookman Old Style" w:hAnsi="Bookman Old Style"/>
          <w:sz w:val="22"/>
          <w:szCs w:val="22"/>
          <w:lang w:val="es-ES"/>
        </w:rPr>
        <w:t xml:space="preserve">la providencia </w:t>
      </w:r>
      <w:r w:rsidRPr="00B91E1C">
        <w:rPr>
          <w:rFonts w:ascii="Bookman Old Style" w:hAnsi="Bookman Old Style"/>
          <w:sz w:val="22"/>
          <w:szCs w:val="22"/>
          <w:lang w:val="es-ES"/>
        </w:rPr>
        <w:t xml:space="preserve">tiene como referente </w:t>
      </w:r>
      <w:r w:rsidR="003778B3">
        <w:rPr>
          <w:rFonts w:ascii="Bookman Old Style" w:hAnsi="Bookman Old Style"/>
          <w:sz w:val="22"/>
          <w:szCs w:val="22"/>
          <w:lang w:val="es-ES"/>
        </w:rPr>
        <w:t xml:space="preserve">inconsciente </w:t>
      </w:r>
      <w:r w:rsidRPr="00B91E1C">
        <w:rPr>
          <w:rFonts w:ascii="Bookman Old Style" w:hAnsi="Bookman Old Style"/>
          <w:sz w:val="22"/>
          <w:szCs w:val="22"/>
          <w:lang w:val="es-ES"/>
        </w:rPr>
        <w:t xml:space="preserve">hipótesis como </w:t>
      </w:r>
      <w:r w:rsidR="003778B3">
        <w:rPr>
          <w:rFonts w:ascii="Bookman Old Style" w:hAnsi="Bookman Old Style"/>
          <w:sz w:val="22"/>
          <w:szCs w:val="22"/>
          <w:lang w:val="es-ES"/>
        </w:rPr>
        <w:t>esta</w:t>
      </w:r>
      <w:r w:rsidRPr="00B91E1C">
        <w:rPr>
          <w:rFonts w:ascii="Bookman Old Style" w:hAnsi="Bookman Old Style"/>
          <w:sz w:val="22"/>
          <w:szCs w:val="22"/>
          <w:lang w:val="es-ES"/>
        </w:rPr>
        <w:t>: una persona que contrata regularmente con la</w:t>
      </w:r>
      <w:r w:rsidR="003778B3">
        <w:rPr>
          <w:rFonts w:ascii="Bookman Old Style" w:hAnsi="Bookman Old Style"/>
          <w:sz w:val="22"/>
          <w:szCs w:val="22"/>
          <w:lang w:val="es-ES"/>
        </w:rPr>
        <w:t>s</w:t>
      </w:r>
      <w:r w:rsidRPr="00B91E1C">
        <w:rPr>
          <w:rFonts w:ascii="Bookman Old Style" w:hAnsi="Bookman Old Style"/>
          <w:sz w:val="22"/>
          <w:szCs w:val="22"/>
          <w:lang w:val="es-ES"/>
        </w:rPr>
        <w:t xml:space="preserve"> entidad</w:t>
      </w:r>
      <w:r w:rsidR="003778B3">
        <w:rPr>
          <w:rFonts w:ascii="Bookman Old Style" w:hAnsi="Bookman Old Style"/>
          <w:sz w:val="22"/>
          <w:szCs w:val="22"/>
          <w:lang w:val="es-ES"/>
        </w:rPr>
        <w:t>es</w:t>
      </w:r>
      <w:r w:rsidRPr="00B91E1C">
        <w:rPr>
          <w:rFonts w:ascii="Bookman Old Style" w:hAnsi="Bookman Old Style"/>
          <w:sz w:val="22"/>
          <w:szCs w:val="22"/>
          <w:lang w:val="es-ES"/>
        </w:rPr>
        <w:t xml:space="preserve"> estatal</w:t>
      </w:r>
      <w:r w:rsidR="003778B3">
        <w:rPr>
          <w:rFonts w:ascii="Bookman Old Style" w:hAnsi="Bookman Old Style"/>
          <w:sz w:val="22"/>
          <w:szCs w:val="22"/>
          <w:lang w:val="es-ES"/>
        </w:rPr>
        <w:t>es,</w:t>
      </w:r>
      <w:r w:rsidRPr="00B91E1C">
        <w:rPr>
          <w:rFonts w:ascii="Bookman Old Style" w:hAnsi="Bookman Old Style"/>
          <w:sz w:val="22"/>
          <w:szCs w:val="22"/>
          <w:lang w:val="es-ES"/>
        </w:rPr>
        <w:t xml:space="preserve"> y </w:t>
      </w:r>
      <w:r w:rsidR="0056764D">
        <w:rPr>
          <w:rFonts w:ascii="Bookman Old Style" w:hAnsi="Bookman Old Style"/>
          <w:sz w:val="22"/>
          <w:szCs w:val="22"/>
          <w:lang w:val="es-ES"/>
        </w:rPr>
        <w:t xml:space="preserve">por tanto </w:t>
      </w:r>
      <w:r w:rsidRPr="00B91E1C">
        <w:rPr>
          <w:rFonts w:ascii="Bookman Old Style" w:hAnsi="Bookman Old Style"/>
          <w:sz w:val="22"/>
          <w:szCs w:val="22"/>
          <w:lang w:val="es-ES"/>
        </w:rPr>
        <w:t xml:space="preserve">conoce </w:t>
      </w:r>
      <w:r w:rsidR="003778B3">
        <w:rPr>
          <w:rFonts w:ascii="Bookman Old Style" w:hAnsi="Bookman Old Style"/>
          <w:sz w:val="22"/>
          <w:szCs w:val="22"/>
          <w:lang w:val="es-ES"/>
        </w:rPr>
        <w:t>los</w:t>
      </w:r>
      <w:r w:rsidRPr="00B91E1C">
        <w:rPr>
          <w:rFonts w:ascii="Bookman Old Style" w:hAnsi="Bookman Old Style"/>
          <w:sz w:val="22"/>
          <w:szCs w:val="22"/>
          <w:lang w:val="es-ES"/>
        </w:rPr>
        <w:t xml:space="preserve"> procedimiento</w:t>
      </w:r>
      <w:r w:rsidR="003778B3">
        <w:rPr>
          <w:rFonts w:ascii="Bookman Old Style" w:hAnsi="Bookman Old Style"/>
          <w:sz w:val="22"/>
          <w:szCs w:val="22"/>
          <w:lang w:val="es-ES"/>
        </w:rPr>
        <w:t xml:space="preserve">s, no </w:t>
      </w:r>
      <w:r w:rsidR="00D9610C" w:rsidRPr="00B91E1C">
        <w:rPr>
          <w:rFonts w:ascii="Bookman Old Style" w:hAnsi="Bookman Old Style"/>
          <w:sz w:val="22"/>
          <w:szCs w:val="22"/>
          <w:lang w:val="es-ES"/>
        </w:rPr>
        <w:t xml:space="preserve">puede </w:t>
      </w:r>
      <w:r w:rsidRPr="00B91E1C">
        <w:rPr>
          <w:rFonts w:ascii="Bookman Old Style" w:hAnsi="Bookman Old Style"/>
          <w:sz w:val="22"/>
          <w:szCs w:val="22"/>
          <w:lang w:val="es-ES"/>
        </w:rPr>
        <w:t>trabajar sin contrato</w:t>
      </w:r>
      <w:r w:rsidR="00D9610C" w:rsidRPr="00B91E1C">
        <w:rPr>
          <w:rFonts w:ascii="Bookman Old Style" w:hAnsi="Bookman Old Style"/>
          <w:sz w:val="22"/>
          <w:szCs w:val="22"/>
          <w:lang w:val="es-ES"/>
        </w:rPr>
        <w:t>,</w:t>
      </w:r>
      <w:r w:rsidR="003778B3">
        <w:rPr>
          <w:rFonts w:ascii="Bookman Old Style" w:hAnsi="Bookman Old Style"/>
          <w:sz w:val="22"/>
          <w:szCs w:val="22"/>
          <w:lang w:val="es-ES"/>
        </w:rPr>
        <w:t xml:space="preserve"> </w:t>
      </w:r>
      <w:r w:rsidR="00D9610C" w:rsidRPr="00B91E1C">
        <w:rPr>
          <w:rFonts w:ascii="Bookman Old Style" w:hAnsi="Bookman Old Style"/>
          <w:sz w:val="22"/>
          <w:szCs w:val="22"/>
          <w:lang w:val="es-ES"/>
        </w:rPr>
        <w:t xml:space="preserve">pues </w:t>
      </w:r>
      <w:r w:rsidR="00BA7536">
        <w:rPr>
          <w:rFonts w:ascii="Bookman Old Style" w:hAnsi="Bookman Old Style"/>
          <w:sz w:val="22"/>
          <w:szCs w:val="22"/>
          <w:lang w:val="es-ES"/>
        </w:rPr>
        <w:t xml:space="preserve">en caso de hacerlo se hace </w:t>
      </w:r>
      <w:r w:rsidR="003778B3" w:rsidRPr="00B91E1C">
        <w:rPr>
          <w:rFonts w:ascii="Bookman Old Style" w:hAnsi="Bookman Old Style"/>
          <w:sz w:val="22"/>
          <w:szCs w:val="22"/>
          <w:lang w:val="es-ES"/>
        </w:rPr>
        <w:t xml:space="preserve">evidente </w:t>
      </w:r>
      <w:r w:rsidR="00D9610C" w:rsidRPr="00B91E1C">
        <w:rPr>
          <w:rFonts w:ascii="Bookman Old Style" w:hAnsi="Bookman Old Style"/>
          <w:sz w:val="22"/>
          <w:szCs w:val="22"/>
          <w:lang w:val="es-ES"/>
        </w:rPr>
        <w:t xml:space="preserve">su participación </w:t>
      </w:r>
      <w:r w:rsidR="0056764D">
        <w:rPr>
          <w:rFonts w:ascii="Bookman Old Style" w:hAnsi="Bookman Old Style"/>
          <w:sz w:val="22"/>
          <w:szCs w:val="22"/>
          <w:lang w:val="es-ES"/>
        </w:rPr>
        <w:t xml:space="preserve">culpable </w:t>
      </w:r>
      <w:r w:rsidR="00D9610C" w:rsidRPr="00B91E1C">
        <w:rPr>
          <w:rFonts w:ascii="Bookman Old Style" w:hAnsi="Bookman Old Style"/>
          <w:sz w:val="22"/>
          <w:szCs w:val="22"/>
          <w:lang w:val="es-ES"/>
        </w:rPr>
        <w:t>en la violación a la ley.</w:t>
      </w:r>
    </w:p>
    <w:p w:rsidR="00D9610C" w:rsidRPr="00B91E1C" w:rsidRDefault="00123EE8" w:rsidP="004A1855">
      <w:pPr>
        <w:spacing w:line="276" w:lineRule="auto"/>
        <w:ind w:firstLine="708"/>
        <w:jc w:val="both"/>
        <w:rPr>
          <w:rFonts w:ascii="Bookman Old Style" w:hAnsi="Bookman Old Style"/>
          <w:sz w:val="22"/>
          <w:szCs w:val="22"/>
          <w:lang w:val="es-ES"/>
        </w:rPr>
      </w:pPr>
      <w:r>
        <w:rPr>
          <w:rFonts w:ascii="Bookman Old Style" w:hAnsi="Bookman Old Style"/>
          <w:sz w:val="22"/>
          <w:szCs w:val="22"/>
          <w:lang w:val="es-ES"/>
        </w:rPr>
        <w:t>La cuestión</w:t>
      </w:r>
      <w:r w:rsidR="00D9610C" w:rsidRPr="00B91E1C">
        <w:rPr>
          <w:rFonts w:ascii="Bookman Old Style" w:hAnsi="Bookman Old Style"/>
          <w:sz w:val="22"/>
          <w:szCs w:val="22"/>
          <w:lang w:val="es-ES"/>
        </w:rPr>
        <w:t xml:space="preserve">, para quienes vemos distinto el </w:t>
      </w:r>
      <w:r w:rsidR="00D912F7">
        <w:rPr>
          <w:rFonts w:ascii="Bookman Old Style" w:hAnsi="Bookman Old Style"/>
          <w:sz w:val="22"/>
          <w:szCs w:val="22"/>
          <w:lang w:val="es-ES"/>
        </w:rPr>
        <w:t>problema –o mejor su solución–</w:t>
      </w:r>
      <w:r w:rsidR="00D9610C" w:rsidRPr="00B91E1C">
        <w:rPr>
          <w:rFonts w:ascii="Bookman Old Style" w:hAnsi="Bookman Old Style"/>
          <w:sz w:val="22"/>
          <w:szCs w:val="22"/>
          <w:lang w:val="es-ES"/>
        </w:rPr>
        <w:t xml:space="preserve"> es que la legalidad no se le puede exigir al particular con la misma rigurosidad que al Estado, y muy a pesar de que objetivamente se pueda </w:t>
      </w:r>
      <w:r w:rsidR="0099647E">
        <w:rPr>
          <w:rFonts w:ascii="Bookman Old Style" w:hAnsi="Bookman Old Style"/>
          <w:sz w:val="22"/>
          <w:szCs w:val="22"/>
          <w:lang w:val="es-ES"/>
        </w:rPr>
        <w:t>sostener</w:t>
      </w:r>
      <w:r w:rsidR="00D9610C" w:rsidRPr="00B91E1C">
        <w:rPr>
          <w:rFonts w:ascii="Bookman Old Style" w:hAnsi="Bookman Old Style"/>
          <w:sz w:val="22"/>
          <w:szCs w:val="22"/>
          <w:lang w:val="es-ES"/>
        </w:rPr>
        <w:t xml:space="preserve"> que la Ley 80 </w:t>
      </w:r>
      <w:r>
        <w:rPr>
          <w:rFonts w:ascii="Bookman Old Style" w:hAnsi="Bookman Old Style"/>
          <w:sz w:val="22"/>
          <w:szCs w:val="22"/>
          <w:lang w:val="es-ES"/>
        </w:rPr>
        <w:t xml:space="preserve">rige </w:t>
      </w:r>
      <w:r w:rsidR="00BA7536">
        <w:rPr>
          <w:rFonts w:ascii="Bookman Old Style" w:hAnsi="Bookman Old Style"/>
          <w:sz w:val="22"/>
          <w:szCs w:val="22"/>
          <w:lang w:val="es-ES"/>
        </w:rPr>
        <w:t>p</w:t>
      </w:r>
      <w:r w:rsidR="00D9610C" w:rsidRPr="00B91E1C">
        <w:rPr>
          <w:rFonts w:ascii="Bookman Old Style" w:hAnsi="Bookman Old Style"/>
          <w:sz w:val="22"/>
          <w:szCs w:val="22"/>
          <w:lang w:val="es-ES"/>
        </w:rPr>
        <w:t>a</w:t>
      </w:r>
      <w:r w:rsidR="00BA7536">
        <w:rPr>
          <w:rFonts w:ascii="Bookman Old Style" w:hAnsi="Bookman Old Style"/>
          <w:sz w:val="22"/>
          <w:szCs w:val="22"/>
          <w:lang w:val="es-ES"/>
        </w:rPr>
        <w:t>ra</w:t>
      </w:r>
      <w:r w:rsidR="00D9610C" w:rsidRPr="00B91E1C">
        <w:rPr>
          <w:rFonts w:ascii="Bookman Old Style" w:hAnsi="Bookman Old Style"/>
          <w:sz w:val="22"/>
          <w:szCs w:val="22"/>
          <w:lang w:val="es-ES"/>
        </w:rPr>
        <w:t xml:space="preserve"> ambos, o que la ignorancia de la ley no se excusa. No. En estos eventos hay que valorar la realidad, lo justo, l</w:t>
      </w:r>
      <w:r w:rsidR="0099647E">
        <w:rPr>
          <w:rFonts w:ascii="Bookman Old Style" w:hAnsi="Bookman Old Style"/>
          <w:sz w:val="22"/>
          <w:szCs w:val="22"/>
          <w:lang w:val="es-ES"/>
        </w:rPr>
        <w:t>a</w:t>
      </w:r>
      <w:r w:rsidR="00D9610C" w:rsidRPr="00B91E1C">
        <w:rPr>
          <w:rFonts w:ascii="Bookman Old Style" w:hAnsi="Bookman Old Style"/>
          <w:sz w:val="22"/>
          <w:szCs w:val="22"/>
          <w:lang w:val="es-ES"/>
        </w:rPr>
        <w:t xml:space="preserve"> verdad, y con este enfoque examinar cada caso, para entender si la inobservancia se hizo en complicidad con la Administración o </w:t>
      </w:r>
      <w:r>
        <w:rPr>
          <w:rFonts w:ascii="Bookman Old Style" w:hAnsi="Bookman Old Style"/>
          <w:sz w:val="22"/>
          <w:szCs w:val="22"/>
          <w:lang w:val="es-ES"/>
        </w:rPr>
        <w:t xml:space="preserve">lo hizo </w:t>
      </w:r>
      <w:r w:rsidR="00D9610C" w:rsidRPr="00B91E1C">
        <w:rPr>
          <w:rFonts w:ascii="Bookman Old Style" w:hAnsi="Bookman Old Style"/>
          <w:sz w:val="22"/>
          <w:szCs w:val="22"/>
          <w:lang w:val="es-ES"/>
        </w:rPr>
        <w:t xml:space="preserve">ésta de manera solitaria. Si sucede lo primero no se debe reconocer nada a quien participó de la ilegalidad; pero si sucede lo segundo hay que hacerlo, y </w:t>
      </w:r>
      <w:r w:rsidR="0003227B">
        <w:rPr>
          <w:rFonts w:ascii="Bookman Old Style" w:hAnsi="Bookman Old Style"/>
          <w:sz w:val="22"/>
          <w:szCs w:val="22"/>
          <w:lang w:val="es-ES"/>
        </w:rPr>
        <w:t xml:space="preserve">además </w:t>
      </w:r>
      <w:r w:rsidR="00D9610C" w:rsidRPr="00B91E1C">
        <w:rPr>
          <w:rFonts w:ascii="Bookman Old Style" w:hAnsi="Bookman Old Style"/>
          <w:sz w:val="22"/>
          <w:szCs w:val="22"/>
          <w:lang w:val="es-ES"/>
        </w:rPr>
        <w:t xml:space="preserve">sancionar al funcionario que actuó contra la norma. </w:t>
      </w:r>
    </w:p>
    <w:p w:rsidR="00D96D8D" w:rsidRDefault="00D9610C" w:rsidP="002D4098">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t>En este enfoque, l</w:t>
      </w:r>
      <w:r w:rsidR="00D96D8D" w:rsidRPr="00B91E1C">
        <w:rPr>
          <w:rFonts w:ascii="Bookman Old Style" w:hAnsi="Bookman Old Style"/>
          <w:sz w:val="22"/>
          <w:szCs w:val="22"/>
          <w:lang w:val="es-ES"/>
        </w:rPr>
        <w:t xml:space="preserve">a </w:t>
      </w:r>
      <w:r w:rsidR="007A09F4" w:rsidRPr="00B91E1C">
        <w:rPr>
          <w:rFonts w:ascii="Bookman Old Style" w:hAnsi="Bookman Old Style"/>
          <w:sz w:val="22"/>
          <w:szCs w:val="22"/>
          <w:lang w:val="es-ES"/>
        </w:rPr>
        <w:t>responsabilidad por la i</w:t>
      </w:r>
      <w:r w:rsidR="00D96D8D" w:rsidRPr="00B91E1C">
        <w:rPr>
          <w:rFonts w:ascii="Bookman Old Style" w:hAnsi="Bookman Old Style"/>
          <w:sz w:val="22"/>
          <w:szCs w:val="22"/>
          <w:lang w:val="es-ES"/>
        </w:rPr>
        <w:t xml:space="preserve">legalidad </w:t>
      </w:r>
      <w:r w:rsidR="007A09F4" w:rsidRPr="00B91E1C">
        <w:rPr>
          <w:rFonts w:ascii="Bookman Old Style" w:hAnsi="Bookman Old Style"/>
          <w:sz w:val="22"/>
          <w:szCs w:val="22"/>
          <w:lang w:val="es-ES"/>
        </w:rPr>
        <w:t xml:space="preserve">del procedimiento contractual </w:t>
      </w:r>
      <w:r w:rsidR="00D96D8D" w:rsidRPr="00B91E1C">
        <w:rPr>
          <w:rFonts w:ascii="Bookman Old Style" w:hAnsi="Bookman Old Style"/>
          <w:sz w:val="22"/>
          <w:szCs w:val="22"/>
          <w:lang w:val="es-ES"/>
        </w:rPr>
        <w:t xml:space="preserve">no tiene por qué asumirla el </w:t>
      </w:r>
      <w:r w:rsidR="00904DA2">
        <w:rPr>
          <w:rFonts w:ascii="Bookman Old Style" w:hAnsi="Bookman Old Style"/>
          <w:sz w:val="22"/>
          <w:szCs w:val="22"/>
          <w:lang w:val="es-ES"/>
        </w:rPr>
        <w:t>particular</w:t>
      </w:r>
      <w:r w:rsidRPr="00B91E1C">
        <w:rPr>
          <w:rFonts w:ascii="Bookman Old Style" w:hAnsi="Bookman Old Style"/>
          <w:sz w:val="22"/>
          <w:szCs w:val="22"/>
          <w:lang w:val="es-ES"/>
        </w:rPr>
        <w:t xml:space="preserve">, </w:t>
      </w:r>
      <w:r w:rsidR="007A09F4" w:rsidRPr="00B91E1C">
        <w:rPr>
          <w:rFonts w:ascii="Bookman Old Style" w:hAnsi="Bookman Old Style"/>
          <w:sz w:val="22"/>
          <w:szCs w:val="22"/>
          <w:lang w:val="es-ES"/>
        </w:rPr>
        <w:t>pues</w:t>
      </w:r>
      <w:r w:rsidRPr="00B91E1C">
        <w:rPr>
          <w:rFonts w:ascii="Bookman Old Style" w:hAnsi="Bookman Old Style"/>
          <w:sz w:val="22"/>
          <w:szCs w:val="22"/>
          <w:lang w:val="es-ES"/>
        </w:rPr>
        <w:t xml:space="preserve"> no </w:t>
      </w:r>
      <w:r w:rsidR="0003227B">
        <w:rPr>
          <w:rFonts w:ascii="Bookman Old Style" w:hAnsi="Bookman Old Style"/>
          <w:sz w:val="22"/>
          <w:szCs w:val="22"/>
          <w:lang w:val="es-ES"/>
        </w:rPr>
        <w:t>conoce –</w:t>
      </w:r>
      <w:r w:rsidRPr="00B91E1C">
        <w:rPr>
          <w:rFonts w:ascii="Bookman Old Style" w:hAnsi="Bookman Old Style"/>
          <w:sz w:val="22"/>
          <w:szCs w:val="22"/>
          <w:lang w:val="es-ES"/>
        </w:rPr>
        <w:t>ni tiene por qué</w:t>
      </w:r>
      <w:r w:rsidR="0003227B">
        <w:rPr>
          <w:rFonts w:ascii="Bookman Old Style" w:hAnsi="Bookman Old Style"/>
          <w:sz w:val="22"/>
          <w:szCs w:val="22"/>
          <w:lang w:val="es-ES"/>
        </w:rPr>
        <w:t xml:space="preserve">– </w:t>
      </w:r>
      <w:r w:rsidRPr="00B91E1C">
        <w:rPr>
          <w:rFonts w:ascii="Bookman Old Style" w:hAnsi="Bookman Old Style"/>
          <w:sz w:val="22"/>
          <w:szCs w:val="22"/>
          <w:lang w:val="es-ES"/>
        </w:rPr>
        <w:t>los detalle</w:t>
      </w:r>
      <w:r w:rsidR="0003227B">
        <w:rPr>
          <w:rFonts w:ascii="Bookman Old Style" w:hAnsi="Bookman Old Style"/>
          <w:sz w:val="22"/>
          <w:szCs w:val="22"/>
          <w:lang w:val="es-ES"/>
        </w:rPr>
        <w:t>s</w:t>
      </w:r>
      <w:r w:rsidRPr="00B91E1C">
        <w:rPr>
          <w:rFonts w:ascii="Bookman Old Style" w:hAnsi="Bookman Old Style"/>
          <w:sz w:val="22"/>
          <w:szCs w:val="22"/>
          <w:lang w:val="es-ES"/>
        </w:rPr>
        <w:t xml:space="preserve"> de un régimen cada vez más técnico y complejo, que ni el común de los abogados </w:t>
      </w:r>
      <w:r w:rsidR="0003227B" w:rsidRPr="00B91E1C">
        <w:rPr>
          <w:rFonts w:ascii="Bookman Old Style" w:hAnsi="Bookman Old Style"/>
          <w:sz w:val="22"/>
          <w:szCs w:val="22"/>
          <w:lang w:val="es-ES"/>
        </w:rPr>
        <w:t>domina</w:t>
      </w:r>
      <w:r w:rsidR="007A09F4" w:rsidRPr="00B91E1C">
        <w:rPr>
          <w:rFonts w:ascii="Bookman Old Style" w:hAnsi="Bookman Old Style"/>
          <w:sz w:val="22"/>
          <w:szCs w:val="22"/>
          <w:lang w:val="es-ES"/>
        </w:rPr>
        <w:t xml:space="preserve">. Los problemas de procedimiento contractual deben imputarse a la misma Administración, no al </w:t>
      </w:r>
      <w:r w:rsidR="00904DA2">
        <w:rPr>
          <w:rFonts w:ascii="Bookman Old Style" w:hAnsi="Bookman Old Style"/>
          <w:sz w:val="22"/>
          <w:szCs w:val="22"/>
          <w:lang w:val="es-ES"/>
        </w:rPr>
        <w:t>ciudadano</w:t>
      </w:r>
      <w:r w:rsidR="007A09F4" w:rsidRPr="00B91E1C">
        <w:rPr>
          <w:rFonts w:ascii="Bookman Old Style" w:hAnsi="Bookman Old Style"/>
          <w:sz w:val="22"/>
          <w:szCs w:val="22"/>
          <w:lang w:val="es-ES"/>
        </w:rPr>
        <w:t>, que normalmente cumpl</w:t>
      </w:r>
      <w:r w:rsidR="0003227B">
        <w:rPr>
          <w:rFonts w:ascii="Bookman Old Style" w:hAnsi="Bookman Old Style"/>
          <w:sz w:val="22"/>
          <w:szCs w:val="22"/>
          <w:lang w:val="es-ES"/>
        </w:rPr>
        <w:t>e</w:t>
      </w:r>
      <w:r w:rsidR="007A09F4" w:rsidRPr="00B91E1C">
        <w:rPr>
          <w:rFonts w:ascii="Bookman Old Style" w:hAnsi="Bookman Old Style"/>
          <w:sz w:val="22"/>
          <w:szCs w:val="22"/>
          <w:lang w:val="es-ES"/>
        </w:rPr>
        <w:t xml:space="preserve"> las indicaciones </w:t>
      </w:r>
      <w:r w:rsidR="00904DA2">
        <w:rPr>
          <w:rFonts w:ascii="Bookman Old Style" w:hAnsi="Bookman Old Style"/>
          <w:sz w:val="22"/>
          <w:szCs w:val="22"/>
          <w:lang w:val="es-ES"/>
        </w:rPr>
        <w:t xml:space="preserve">e instrucciones </w:t>
      </w:r>
      <w:r w:rsidR="007A09F4" w:rsidRPr="00B91E1C">
        <w:rPr>
          <w:rFonts w:ascii="Bookman Old Style" w:hAnsi="Bookman Old Style"/>
          <w:sz w:val="22"/>
          <w:szCs w:val="22"/>
          <w:lang w:val="es-ES"/>
        </w:rPr>
        <w:t xml:space="preserve">que le </w:t>
      </w:r>
      <w:r w:rsidR="00904DA2">
        <w:rPr>
          <w:rFonts w:ascii="Bookman Old Style" w:hAnsi="Bookman Old Style"/>
          <w:sz w:val="22"/>
          <w:szCs w:val="22"/>
          <w:lang w:val="es-ES"/>
        </w:rPr>
        <w:t xml:space="preserve">da </w:t>
      </w:r>
      <w:r w:rsidR="007A09F4" w:rsidRPr="00B91E1C">
        <w:rPr>
          <w:rFonts w:ascii="Bookman Old Style" w:hAnsi="Bookman Old Style"/>
          <w:sz w:val="22"/>
          <w:szCs w:val="22"/>
          <w:lang w:val="es-ES"/>
        </w:rPr>
        <w:t>el Estado, salvo que se acredite que participó de la vulneración al ordenamiento, con el propósito de ejecutar un</w:t>
      </w:r>
      <w:r w:rsidR="00904DA2">
        <w:rPr>
          <w:rFonts w:ascii="Bookman Old Style" w:hAnsi="Bookman Old Style"/>
          <w:sz w:val="22"/>
          <w:szCs w:val="22"/>
          <w:lang w:val="es-ES"/>
        </w:rPr>
        <w:t>a prestación sin contrato</w:t>
      </w:r>
      <w:r w:rsidR="007A09F4" w:rsidRPr="00B91E1C">
        <w:rPr>
          <w:rFonts w:ascii="Bookman Old Style" w:hAnsi="Bookman Old Style"/>
          <w:sz w:val="22"/>
          <w:szCs w:val="22"/>
          <w:lang w:val="es-ES"/>
        </w:rPr>
        <w:t>. Pero esto no se puede generalizar, sino acreditar en cada caso.</w:t>
      </w:r>
    </w:p>
    <w:p w:rsidR="0099647E" w:rsidRPr="00B91E1C" w:rsidRDefault="0099647E" w:rsidP="002D4098">
      <w:pPr>
        <w:spacing w:line="276" w:lineRule="auto"/>
        <w:ind w:firstLine="708"/>
        <w:jc w:val="both"/>
        <w:rPr>
          <w:rFonts w:ascii="Bookman Old Style" w:hAnsi="Bookman Old Style"/>
          <w:sz w:val="22"/>
          <w:szCs w:val="22"/>
          <w:lang w:val="es-ES"/>
        </w:rPr>
      </w:pPr>
      <w:r>
        <w:rPr>
          <w:rFonts w:ascii="Bookman Old Style" w:hAnsi="Bookman Old Style"/>
          <w:sz w:val="22"/>
          <w:szCs w:val="22"/>
          <w:lang w:val="es-ES"/>
        </w:rPr>
        <w:lastRenderedPageBreak/>
        <w:t xml:space="preserve">Más fácil de resolver es el supuesto en el que un particular ejecuta prestaciones para el Estado sin que se lo pidieran, es decir, cuando, </w:t>
      </w:r>
      <w:r w:rsidRPr="0099647E">
        <w:rPr>
          <w:rFonts w:ascii="Bookman Old Style" w:hAnsi="Bookman Old Style"/>
          <w:i/>
          <w:sz w:val="22"/>
          <w:szCs w:val="22"/>
          <w:lang w:val="es-ES"/>
        </w:rPr>
        <w:t>motu proprio</w:t>
      </w:r>
      <w:r>
        <w:rPr>
          <w:rFonts w:ascii="Bookman Old Style" w:hAnsi="Bookman Old Style"/>
          <w:i/>
          <w:sz w:val="22"/>
          <w:szCs w:val="22"/>
          <w:lang w:val="es-ES"/>
        </w:rPr>
        <w:t>,</w:t>
      </w:r>
      <w:r>
        <w:rPr>
          <w:rFonts w:ascii="Bookman Old Style" w:hAnsi="Bookman Old Style"/>
          <w:sz w:val="22"/>
          <w:szCs w:val="22"/>
          <w:lang w:val="es-ES"/>
        </w:rPr>
        <w:t xml:space="preserve"> construye, suministra o entrega un bien, o cuando ejecuta más de lo que sí se le pidió, y en ambos casos pretende el pago. En estos eventos resulta imposible reclamar la responsabilidad por enriquecimiento sin causa, porque el enriquecido nunca consintió la ejecución.</w:t>
      </w:r>
    </w:p>
    <w:p w:rsidR="004A1855" w:rsidRPr="00B91E1C" w:rsidRDefault="00871359" w:rsidP="004A1855">
      <w:pPr>
        <w:spacing w:line="276" w:lineRule="auto"/>
        <w:ind w:firstLine="708"/>
        <w:jc w:val="both"/>
        <w:rPr>
          <w:rFonts w:ascii="Bookman Old Style" w:hAnsi="Bookman Old Style" w:cs="Arial"/>
          <w:bCs/>
          <w:sz w:val="22"/>
          <w:szCs w:val="22"/>
          <w:lang w:val="es-ES"/>
        </w:rPr>
      </w:pPr>
      <w:r w:rsidRPr="00B91E1C">
        <w:rPr>
          <w:rFonts w:ascii="Bookman Old Style" w:hAnsi="Bookman Old Style"/>
          <w:sz w:val="22"/>
          <w:szCs w:val="22"/>
          <w:lang w:val="es-ES"/>
        </w:rPr>
        <w:t xml:space="preserve">Retomando </w:t>
      </w:r>
      <w:r w:rsidR="00CC1BA9">
        <w:rPr>
          <w:rFonts w:ascii="Bookman Old Style" w:hAnsi="Bookman Old Style"/>
          <w:sz w:val="22"/>
          <w:szCs w:val="22"/>
          <w:lang w:val="es-ES"/>
        </w:rPr>
        <w:t>la providencia de unificación</w:t>
      </w:r>
      <w:r w:rsidRPr="00B91E1C">
        <w:rPr>
          <w:rFonts w:ascii="Bookman Old Style" w:hAnsi="Bookman Old Style"/>
          <w:sz w:val="22"/>
          <w:szCs w:val="22"/>
          <w:lang w:val="es-ES"/>
        </w:rPr>
        <w:t xml:space="preserve">, </w:t>
      </w:r>
      <w:r w:rsidR="00CC1BA9">
        <w:rPr>
          <w:rFonts w:ascii="Bookman Old Style" w:hAnsi="Bookman Old Style"/>
          <w:sz w:val="22"/>
          <w:szCs w:val="22"/>
          <w:lang w:val="es-ES"/>
        </w:rPr>
        <w:t>su</w:t>
      </w:r>
      <w:r w:rsidR="00F634F5" w:rsidRPr="00B91E1C">
        <w:rPr>
          <w:rFonts w:ascii="Bookman Old Style" w:hAnsi="Bookman Old Style"/>
          <w:sz w:val="22"/>
          <w:szCs w:val="22"/>
          <w:lang w:val="es-ES"/>
        </w:rPr>
        <w:t xml:space="preserve"> conclusión es que si no se suscribe el contrato</w:t>
      </w:r>
      <w:r w:rsidR="00011F35" w:rsidRPr="00B91E1C">
        <w:rPr>
          <w:rFonts w:ascii="Bookman Old Style" w:hAnsi="Bookman Old Style"/>
          <w:sz w:val="22"/>
          <w:szCs w:val="22"/>
          <w:lang w:val="es-ES"/>
        </w:rPr>
        <w:t>,</w:t>
      </w:r>
      <w:r w:rsidR="00F634F5" w:rsidRPr="00B91E1C">
        <w:rPr>
          <w:rFonts w:ascii="Bookman Old Style" w:hAnsi="Bookman Old Style"/>
          <w:sz w:val="22"/>
          <w:szCs w:val="22"/>
          <w:lang w:val="es-ES"/>
        </w:rPr>
        <w:t xml:space="preserve"> </w:t>
      </w:r>
      <w:r w:rsidR="00957C61" w:rsidRPr="00B91E1C">
        <w:rPr>
          <w:rFonts w:ascii="Bookman Old Style" w:hAnsi="Bookman Old Style"/>
          <w:sz w:val="22"/>
          <w:szCs w:val="22"/>
          <w:lang w:val="es-ES"/>
        </w:rPr>
        <w:t xml:space="preserve">pero </w:t>
      </w:r>
      <w:r w:rsidR="006B2289">
        <w:rPr>
          <w:rFonts w:ascii="Bookman Old Style" w:hAnsi="Bookman Old Style"/>
          <w:sz w:val="22"/>
          <w:szCs w:val="22"/>
          <w:lang w:val="es-ES"/>
        </w:rPr>
        <w:t>se</w:t>
      </w:r>
      <w:r w:rsidR="00957C61" w:rsidRPr="00B91E1C">
        <w:rPr>
          <w:rFonts w:ascii="Bookman Old Style" w:hAnsi="Bookman Old Style"/>
          <w:sz w:val="22"/>
          <w:szCs w:val="22"/>
          <w:lang w:val="es-ES"/>
        </w:rPr>
        <w:t xml:space="preserve"> </w:t>
      </w:r>
      <w:r w:rsidR="00F634F5" w:rsidRPr="00B91E1C">
        <w:rPr>
          <w:rFonts w:ascii="Bookman Old Style" w:hAnsi="Bookman Old Style"/>
          <w:sz w:val="22"/>
          <w:szCs w:val="22"/>
          <w:lang w:val="es-ES"/>
        </w:rPr>
        <w:t>ejecuta</w:t>
      </w:r>
      <w:r w:rsidR="006B2289">
        <w:rPr>
          <w:rFonts w:ascii="Bookman Old Style" w:hAnsi="Bookman Old Style"/>
          <w:sz w:val="22"/>
          <w:szCs w:val="22"/>
          <w:lang w:val="es-ES"/>
        </w:rPr>
        <w:t>n</w:t>
      </w:r>
      <w:r w:rsidR="00957C61" w:rsidRPr="00B91E1C">
        <w:rPr>
          <w:rFonts w:ascii="Bookman Old Style" w:hAnsi="Bookman Old Style"/>
          <w:sz w:val="22"/>
          <w:szCs w:val="22"/>
          <w:lang w:val="es-ES"/>
        </w:rPr>
        <w:t xml:space="preserve"> </w:t>
      </w:r>
      <w:r w:rsidR="00F634F5" w:rsidRPr="00B91E1C">
        <w:rPr>
          <w:rFonts w:ascii="Bookman Old Style" w:hAnsi="Bookman Old Style"/>
          <w:sz w:val="22"/>
          <w:szCs w:val="22"/>
          <w:lang w:val="es-ES"/>
        </w:rPr>
        <w:t>prestaciones</w:t>
      </w:r>
      <w:r w:rsidR="00957C61" w:rsidRPr="00B91E1C">
        <w:rPr>
          <w:rFonts w:ascii="Bookman Old Style" w:hAnsi="Bookman Old Style"/>
          <w:sz w:val="22"/>
          <w:szCs w:val="22"/>
          <w:lang w:val="es-ES"/>
        </w:rPr>
        <w:t xml:space="preserve"> en favor de </w:t>
      </w:r>
      <w:r w:rsidR="00135B0F">
        <w:rPr>
          <w:rFonts w:ascii="Bookman Old Style" w:hAnsi="Bookman Old Style"/>
          <w:sz w:val="22"/>
          <w:szCs w:val="22"/>
          <w:lang w:val="es-ES"/>
        </w:rPr>
        <w:t>una persona</w:t>
      </w:r>
      <w:r w:rsidR="00957C61" w:rsidRPr="00B91E1C">
        <w:rPr>
          <w:rFonts w:ascii="Bookman Old Style" w:hAnsi="Bookman Old Style"/>
          <w:sz w:val="22"/>
          <w:szCs w:val="22"/>
          <w:lang w:val="es-ES"/>
        </w:rPr>
        <w:t>,</w:t>
      </w:r>
      <w:r w:rsidR="00F634F5" w:rsidRPr="00B91E1C">
        <w:rPr>
          <w:rFonts w:ascii="Bookman Old Style" w:hAnsi="Bookman Old Style"/>
          <w:sz w:val="22"/>
          <w:szCs w:val="22"/>
          <w:lang w:val="es-ES"/>
        </w:rPr>
        <w:t xml:space="preserve"> el afectado no tiene derecho a reclamar porque no se configuran los elementos</w:t>
      </w:r>
      <w:r w:rsidR="00C8398A" w:rsidRPr="00B91E1C">
        <w:rPr>
          <w:rFonts w:ascii="Bookman Old Style" w:hAnsi="Bookman Old Style"/>
          <w:sz w:val="22"/>
          <w:szCs w:val="22"/>
          <w:lang w:val="es-ES"/>
        </w:rPr>
        <w:t xml:space="preserve"> </w:t>
      </w:r>
      <w:r w:rsidR="00F634F5" w:rsidRPr="00B91E1C">
        <w:rPr>
          <w:rFonts w:ascii="Bookman Old Style" w:hAnsi="Bookman Old Style"/>
          <w:sz w:val="22"/>
          <w:szCs w:val="22"/>
          <w:lang w:val="es-ES"/>
        </w:rPr>
        <w:t>de</w:t>
      </w:r>
      <w:r w:rsidR="00AF4D95" w:rsidRPr="00B91E1C">
        <w:rPr>
          <w:rFonts w:ascii="Bookman Old Style" w:hAnsi="Bookman Old Style"/>
          <w:sz w:val="22"/>
          <w:szCs w:val="22"/>
          <w:lang w:val="es-ES"/>
        </w:rPr>
        <w:t xml:space="preserve"> </w:t>
      </w:r>
      <w:r w:rsidR="00F634F5" w:rsidRPr="00B91E1C">
        <w:rPr>
          <w:rFonts w:ascii="Bookman Old Style" w:hAnsi="Bookman Old Style"/>
          <w:sz w:val="22"/>
          <w:szCs w:val="22"/>
          <w:lang w:val="es-ES"/>
        </w:rPr>
        <w:t xml:space="preserve">la teoría del enriquecimiento sin causa: </w:t>
      </w:r>
      <w:r w:rsidR="00957C61" w:rsidRPr="00B91E1C">
        <w:rPr>
          <w:rFonts w:ascii="Bookman Old Style" w:hAnsi="Bookman Old Style" w:cs="Arial"/>
          <w:bCs/>
          <w:sz w:val="22"/>
          <w:szCs w:val="22"/>
          <w:lang w:val="es-ES"/>
        </w:rPr>
        <w:t>i</w:t>
      </w:r>
      <w:r w:rsidR="004A1855" w:rsidRPr="00B91E1C">
        <w:rPr>
          <w:rFonts w:ascii="Bookman Old Style" w:hAnsi="Bookman Old Style" w:cs="Arial"/>
          <w:bCs/>
          <w:sz w:val="22"/>
          <w:szCs w:val="22"/>
          <w:lang w:val="es-ES"/>
        </w:rPr>
        <w:t xml:space="preserve">) un enriquecimiento; </w:t>
      </w:r>
      <w:r w:rsidR="00957C61" w:rsidRPr="00B91E1C">
        <w:rPr>
          <w:rFonts w:ascii="Bookman Old Style" w:hAnsi="Bookman Old Style" w:cs="Arial"/>
          <w:bCs/>
          <w:sz w:val="22"/>
          <w:szCs w:val="22"/>
          <w:lang w:val="es-ES"/>
        </w:rPr>
        <w:t>ii</w:t>
      </w:r>
      <w:r w:rsidR="004A1855" w:rsidRPr="00B91E1C">
        <w:rPr>
          <w:rFonts w:ascii="Bookman Old Style" w:hAnsi="Bookman Old Style" w:cs="Arial"/>
          <w:bCs/>
          <w:sz w:val="22"/>
          <w:szCs w:val="22"/>
          <w:lang w:val="es-ES"/>
        </w:rPr>
        <w:t xml:space="preserve">) un empobrecimiento correlativo; </w:t>
      </w:r>
      <w:r w:rsidR="00957C61" w:rsidRPr="00B91E1C">
        <w:rPr>
          <w:rFonts w:ascii="Bookman Old Style" w:hAnsi="Bookman Old Style" w:cs="Arial"/>
          <w:bCs/>
          <w:sz w:val="22"/>
          <w:szCs w:val="22"/>
          <w:lang w:val="es-ES"/>
        </w:rPr>
        <w:t>iii</w:t>
      </w:r>
      <w:r w:rsidR="004A1855" w:rsidRPr="00B91E1C">
        <w:rPr>
          <w:rFonts w:ascii="Bookman Old Style" w:hAnsi="Bookman Old Style" w:cs="Arial"/>
          <w:bCs/>
          <w:sz w:val="22"/>
          <w:szCs w:val="22"/>
          <w:lang w:val="es-ES"/>
        </w:rPr>
        <w:t xml:space="preserve">) la ausencia de causa que justifique el desequilibrio patrimonial; </w:t>
      </w:r>
      <w:r w:rsidR="00957C61" w:rsidRPr="00B91E1C">
        <w:rPr>
          <w:rFonts w:ascii="Bookman Old Style" w:hAnsi="Bookman Old Style" w:cs="Arial"/>
          <w:bCs/>
          <w:sz w:val="22"/>
          <w:szCs w:val="22"/>
          <w:lang w:val="es-ES"/>
        </w:rPr>
        <w:t>iv</w:t>
      </w:r>
      <w:r w:rsidR="004A1855" w:rsidRPr="00B91E1C">
        <w:rPr>
          <w:rFonts w:ascii="Bookman Old Style" w:hAnsi="Bookman Old Style" w:cs="Arial"/>
          <w:bCs/>
          <w:sz w:val="22"/>
          <w:szCs w:val="22"/>
          <w:lang w:val="es-ES"/>
        </w:rPr>
        <w:t>) la carencia de otra acción</w:t>
      </w:r>
      <w:bookmarkStart w:id="0" w:name="_GoBack"/>
      <w:bookmarkEnd w:id="0"/>
      <w:r w:rsidR="004A1855" w:rsidRPr="00B91E1C">
        <w:rPr>
          <w:rFonts w:ascii="Bookman Old Style" w:hAnsi="Bookman Old Style" w:cs="Arial"/>
          <w:bCs/>
          <w:sz w:val="22"/>
          <w:szCs w:val="22"/>
          <w:lang w:val="es-ES"/>
        </w:rPr>
        <w:t xml:space="preserve"> que permitiera la restitución, y  </w:t>
      </w:r>
      <w:r w:rsidR="00957C61" w:rsidRPr="00B91E1C">
        <w:rPr>
          <w:rFonts w:ascii="Bookman Old Style" w:hAnsi="Bookman Old Style" w:cs="Arial"/>
          <w:bCs/>
          <w:sz w:val="22"/>
          <w:szCs w:val="22"/>
          <w:lang w:val="es-ES"/>
        </w:rPr>
        <w:t>v</w:t>
      </w:r>
      <w:r w:rsidR="004A1855" w:rsidRPr="00B91E1C">
        <w:rPr>
          <w:rFonts w:ascii="Bookman Old Style" w:hAnsi="Bookman Old Style" w:cs="Arial"/>
          <w:bCs/>
          <w:sz w:val="22"/>
          <w:szCs w:val="22"/>
          <w:lang w:val="es-ES"/>
        </w:rPr>
        <w:t>) que no se eludan normas imperativas.</w:t>
      </w:r>
    </w:p>
    <w:p w:rsidR="004A1855" w:rsidRPr="00B91E1C" w:rsidRDefault="00CC1BA9" w:rsidP="004A1855">
      <w:pPr>
        <w:spacing w:line="276" w:lineRule="auto"/>
        <w:ind w:firstLine="708"/>
        <w:jc w:val="both"/>
        <w:rPr>
          <w:rFonts w:ascii="Bookman Old Style" w:hAnsi="Bookman Old Style"/>
          <w:sz w:val="22"/>
          <w:szCs w:val="22"/>
          <w:lang w:val="es-ES"/>
        </w:rPr>
      </w:pPr>
      <w:r>
        <w:rPr>
          <w:rFonts w:ascii="Bookman Old Style" w:hAnsi="Bookman Old Style" w:cs="Arial"/>
          <w:bCs/>
          <w:sz w:val="22"/>
          <w:szCs w:val="22"/>
          <w:lang w:val="es-ES"/>
        </w:rPr>
        <w:t xml:space="preserve">Para </w:t>
      </w:r>
      <w:r w:rsidR="004A1855" w:rsidRPr="00B91E1C">
        <w:rPr>
          <w:rFonts w:ascii="Bookman Old Style" w:hAnsi="Bookman Old Style" w:cs="Arial"/>
          <w:bCs/>
          <w:sz w:val="22"/>
          <w:szCs w:val="22"/>
          <w:lang w:val="es-ES"/>
        </w:rPr>
        <w:t>la sentencia</w:t>
      </w:r>
      <w:r w:rsidR="00AF4D95" w:rsidRPr="00B91E1C">
        <w:rPr>
          <w:rFonts w:ascii="Bookman Old Style" w:hAnsi="Bookman Old Style" w:cs="Arial"/>
          <w:bCs/>
          <w:sz w:val="22"/>
          <w:szCs w:val="22"/>
          <w:lang w:val="es-ES"/>
        </w:rPr>
        <w:t xml:space="preserve">, en el caso </w:t>
      </w:r>
      <w:r w:rsidR="007405BE" w:rsidRPr="00B91E1C">
        <w:rPr>
          <w:rFonts w:ascii="Bookman Old Style" w:hAnsi="Bookman Old Style" w:cs="Arial"/>
          <w:bCs/>
          <w:sz w:val="22"/>
          <w:szCs w:val="22"/>
          <w:lang w:val="es-ES"/>
        </w:rPr>
        <w:t xml:space="preserve">que se </w:t>
      </w:r>
      <w:r w:rsidR="00AF4D95" w:rsidRPr="00B91E1C">
        <w:rPr>
          <w:rFonts w:ascii="Bookman Old Style" w:hAnsi="Bookman Old Style" w:cs="Arial"/>
          <w:bCs/>
          <w:sz w:val="22"/>
          <w:szCs w:val="22"/>
          <w:lang w:val="es-ES"/>
        </w:rPr>
        <w:t>juzg</w:t>
      </w:r>
      <w:r w:rsidR="007405BE" w:rsidRPr="00B91E1C">
        <w:rPr>
          <w:rFonts w:ascii="Bookman Old Style" w:hAnsi="Bookman Old Style" w:cs="Arial"/>
          <w:bCs/>
          <w:sz w:val="22"/>
          <w:szCs w:val="22"/>
          <w:lang w:val="es-ES"/>
        </w:rPr>
        <w:t>ó</w:t>
      </w:r>
      <w:r w:rsidR="00AF4D95" w:rsidRPr="00B91E1C">
        <w:rPr>
          <w:rFonts w:ascii="Bookman Old Style" w:hAnsi="Bookman Old Style" w:cs="Arial"/>
          <w:bCs/>
          <w:sz w:val="22"/>
          <w:szCs w:val="22"/>
          <w:lang w:val="es-ES"/>
        </w:rPr>
        <w:t xml:space="preserve"> </w:t>
      </w:r>
      <w:r w:rsidR="004A1855" w:rsidRPr="00B91E1C">
        <w:rPr>
          <w:rFonts w:ascii="Bookman Old Style" w:hAnsi="Bookman Old Style" w:cs="Arial"/>
          <w:bCs/>
          <w:sz w:val="22"/>
          <w:szCs w:val="22"/>
          <w:lang w:val="es-ES"/>
        </w:rPr>
        <w:t>no se configuró el último requisito, porque siempre que se present</w:t>
      </w:r>
      <w:r w:rsidR="00AF4D95" w:rsidRPr="00B91E1C">
        <w:rPr>
          <w:rFonts w:ascii="Bookman Old Style" w:hAnsi="Bookman Old Style" w:cs="Arial"/>
          <w:bCs/>
          <w:sz w:val="22"/>
          <w:szCs w:val="22"/>
          <w:lang w:val="es-ES"/>
        </w:rPr>
        <w:t>a</w:t>
      </w:r>
      <w:r w:rsidR="004A1855" w:rsidRPr="00B91E1C">
        <w:rPr>
          <w:rFonts w:ascii="Bookman Old Style" w:hAnsi="Bookman Old Style" w:cs="Arial"/>
          <w:bCs/>
          <w:sz w:val="22"/>
          <w:szCs w:val="22"/>
          <w:lang w:val="es-ES"/>
        </w:rPr>
        <w:t xml:space="preserve"> un evento </w:t>
      </w:r>
      <w:r w:rsidR="00844921" w:rsidRPr="00B91E1C">
        <w:rPr>
          <w:rFonts w:ascii="Bookman Old Style" w:hAnsi="Bookman Old Style" w:cs="Arial"/>
          <w:bCs/>
          <w:sz w:val="22"/>
          <w:szCs w:val="22"/>
          <w:lang w:val="es-ES"/>
        </w:rPr>
        <w:t>semejante</w:t>
      </w:r>
      <w:r w:rsidR="007405BE" w:rsidRPr="00B91E1C">
        <w:rPr>
          <w:rFonts w:ascii="Bookman Old Style" w:hAnsi="Bookman Old Style" w:cs="Arial"/>
          <w:bCs/>
          <w:sz w:val="22"/>
          <w:szCs w:val="22"/>
          <w:lang w:val="es-ES"/>
        </w:rPr>
        <w:t xml:space="preserve"> </w:t>
      </w:r>
      <w:r w:rsidR="004A1855" w:rsidRPr="00B91E1C">
        <w:rPr>
          <w:rFonts w:ascii="Bookman Old Style" w:hAnsi="Bookman Old Style" w:cs="Arial"/>
          <w:bCs/>
          <w:sz w:val="22"/>
          <w:szCs w:val="22"/>
          <w:lang w:val="es-ES"/>
        </w:rPr>
        <w:t>se viola</w:t>
      </w:r>
      <w:r w:rsidR="00AF4D95" w:rsidRPr="00B91E1C">
        <w:rPr>
          <w:rFonts w:ascii="Bookman Old Style" w:hAnsi="Bookman Old Style" w:cs="Arial"/>
          <w:bCs/>
          <w:sz w:val="22"/>
          <w:szCs w:val="22"/>
          <w:lang w:val="es-ES"/>
        </w:rPr>
        <w:t xml:space="preserve"> </w:t>
      </w:r>
      <w:r w:rsidR="004A1855" w:rsidRPr="00B91E1C">
        <w:rPr>
          <w:rFonts w:ascii="Bookman Old Style" w:hAnsi="Bookman Old Style" w:cs="Arial"/>
          <w:bCs/>
          <w:sz w:val="22"/>
          <w:szCs w:val="22"/>
          <w:lang w:val="es-ES"/>
        </w:rPr>
        <w:t>la Ley 80 de 1993</w:t>
      </w:r>
      <w:r w:rsidR="00AF4D95" w:rsidRPr="00B91E1C">
        <w:rPr>
          <w:rFonts w:ascii="Bookman Old Style" w:hAnsi="Bookman Old Style" w:cs="Arial"/>
          <w:bCs/>
          <w:sz w:val="22"/>
          <w:szCs w:val="22"/>
          <w:lang w:val="es-ES"/>
        </w:rPr>
        <w:t>,</w:t>
      </w:r>
      <w:r w:rsidR="004A1855" w:rsidRPr="00B91E1C">
        <w:rPr>
          <w:rFonts w:ascii="Bookman Old Style" w:hAnsi="Bookman Old Style" w:cs="Arial"/>
          <w:bCs/>
          <w:sz w:val="22"/>
          <w:szCs w:val="22"/>
          <w:lang w:val="es-ES"/>
        </w:rPr>
        <w:t xml:space="preserve"> que impone </w:t>
      </w:r>
      <w:r w:rsidR="007803C0" w:rsidRPr="00B91E1C">
        <w:rPr>
          <w:rFonts w:ascii="Bookman Old Style" w:hAnsi="Bookman Old Style" w:cs="Arial"/>
          <w:bCs/>
          <w:sz w:val="22"/>
          <w:szCs w:val="22"/>
          <w:lang w:val="es-ES"/>
        </w:rPr>
        <w:t>s</w:t>
      </w:r>
      <w:r w:rsidR="004A1855" w:rsidRPr="00B91E1C">
        <w:rPr>
          <w:rFonts w:ascii="Bookman Old Style" w:hAnsi="Bookman Old Style" w:cs="Arial"/>
          <w:bCs/>
          <w:sz w:val="22"/>
          <w:szCs w:val="22"/>
          <w:lang w:val="es-ES"/>
        </w:rPr>
        <w:t xml:space="preserve">uscribir un documento </w:t>
      </w:r>
      <w:r w:rsidR="00844921" w:rsidRPr="00B91E1C">
        <w:rPr>
          <w:rFonts w:ascii="Bookman Old Style" w:hAnsi="Bookman Old Style" w:cs="Arial"/>
          <w:bCs/>
          <w:sz w:val="22"/>
          <w:szCs w:val="22"/>
          <w:lang w:val="es-ES"/>
        </w:rPr>
        <w:t>previo a la ejecución</w:t>
      </w:r>
      <w:r>
        <w:rPr>
          <w:rFonts w:ascii="Bookman Old Style" w:hAnsi="Bookman Old Style" w:cs="Arial"/>
          <w:bCs/>
          <w:sz w:val="22"/>
          <w:szCs w:val="22"/>
          <w:lang w:val="es-ES"/>
        </w:rPr>
        <w:t>,</w:t>
      </w:r>
      <w:r w:rsidR="00844921" w:rsidRPr="00B91E1C">
        <w:rPr>
          <w:rFonts w:ascii="Bookman Old Style" w:hAnsi="Bookman Old Style" w:cs="Arial"/>
          <w:bCs/>
          <w:sz w:val="22"/>
          <w:szCs w:val="22"/>
          <w:lang w:val="es-ES"/>
        </w:rPr>
        <w:t xml:space="preserve"> </w:t>
      </w:r>
      <w:r w:rsidR="007622EB" w:rsidRPr="00B91E1C">
        <w:rPr>
          <w:rFonts w:ascii="Bookman Old Style" w:hAnsi="Bookman Old Style" w:cs="Arial"/>
          <w:bCs/>
          <w:sz w:val="22"/>
          <w:szCs w:val="22"/>
          <w:lang w:val="es-ES"/>
        </w:rPr>
        <w:t>donde</w:t>
      </w:r>
      <w:r w:rsidR="004A1855" w:rsidRPr="00B91E1C">
        <w:rPr>
          <w:rFonts w:ascii="Bookman Old Style" w:hAnsi="Bookman Old Style" w:cs="Arial"/>
          <w:bCs/>
          <w:sz w:val="22"/>
          <w:szCs w:val="22"/>
          <w:lang w:val="es-ES"/>
        </w:rPr>
        <w:t xml:space="preserve"> consten las obligaciones y los derechos de las partes –art. 4</w:t>
      </w:r>
      <w:r w:rsidR="00171F7A" w:rsidRPr="00B91E1C">
        <w:rPr>
          <w:rFonts w:ascii="Bookman Old Style" w:hAnsi="Bookman Old Style" w:cs="Arial"/>
          <w:bCs/>
          <w:sz w:val="22"/>
          <w:szCs w:val="22"/>
          <w:lang w:val="es-ES"/>
        </w:rPr>
        <w:t>1</w:t>
      </w:r>
      <w:r w:rsidR="004A1855" w:rsidRPr="00B91E1C">
        <w:rPr>
          <w:rFonts w:ascii="Bookman Old Style" w:hAnsi="Bookman Old Style" w:cs="Arial"/>
          <w:bCs/>
          <w:sz w:val="22"/>
          <w:szCs w:val="22"/>
          <w:lang w:val="es-ES"/>
        </w:rPr>
        <w:t>–</w:t>
      </w:r>
      <w:r w:rsidR="007803C0" w:rsidRPr="00B91E1C">
        <w:rPr>
          <w:rFonts w:ascii="Bookman Old Style" w:hAnsi="Bookman Old Style" w:cs="Arial"/>
          <w:bCs/>
          <w:sz w:val="22"/>
          <w:szCs w:val="22"/>
          <w:lang w:val="es-ES"/>
        </w:rPr>
        <w:t>.</w:t>
      </w:r>
      <w:r w:rsidR="00436EA3" w:rsidRPr="00B91E1C">
        <w:rPr>
          <w:rFonts w:ascii="Bookman Old Style" w:hAnsi="Bookman Old Style" w:cs="Arial"/>
          <w:bCs/>
          <w:sz w:val="22"/>
          <w:szCs w:val="22"/>
          <w:lang w:val="es-ES"/>
        </w:rPr>
        <w:t xml:space="preserve"> Como se trata de una norma imperativa</w:t>
      </w:r>
      <w:r w:rsidR="00AF4D95" w:rsidRPr="00B91E1C">
        <w:rPr>
          <w:rFonts w:ascii="Bookman Old Style" w:hAnsi="Bookman Old Style" w:cs="Arial"/>
          <w:bCs/>
          <w:sz w:val="22"/>
          <w:szCs w:val="22"/>
          <w:lang w:val="es-ES"/>
        </w:rPr>
        <w:t>,</w:t>
      </w:r>
      <w:r w:rsidR="00436EA3" w:rsidRPr="00B91E1C">
        <w:rPr>
          <w:rFonts w:ascii="Bookman Old Style" w:hAnsi="Bookman Old Style" w:cs="Arial"/>
          <w:bCs/>
          <w:sz w:val="22"/>
          <w:szCs w:val="22"/>
          <w:lang w:val="es-ES"/>
        </w:rPr>
        <w:t xml:space="preserve"> </w:t>
      </w:r>
      <w:r w:rsidRPr="00CC1BA9">
        <w:rPr>
          <w:rFonts w:ascii="Bookman Old Style" w:hAnsi="Bookman Old Style" w:cs="Arial"/>
          <w:bCs/>
          <w:sz w:val="22"/>
          <w:szCs w:val="22"/>
          <w:lang w:val="es-ES"/>
        </w:rPr>
        <w:t>omitir</w:t>
      </w:r>
      <w:r>
        <w:rPr>
          <w:rFonts w:ascii="Bookman Old Style" w:hAnsi="Bookman Old Style" w:cs="Arial"/>
          <w:bCs/>
          <w:sz w:val="22"/>
          <w:szCs w:val="22"/>
          <w:lang w:val="es-ES"/>
        </w:rPr>
        <w:t>la</w:t>
      </w:r>
      <w:r w:rsidR="00436EA3" w:rsidRPr="00B91E1C">
        <w:rPr>
          <w:rFonts w:ascii="Bookman Old Style" w:hAnsi="Bookman Old Style" w:cs="Arial"/>
          <w:bCs/>
          <w:sz w:val="22"/>
          <w:szCs w:val="22"/>
          <w:lang w:val="es-ES"/>
        </w:rPr>
        <w:t xml:space="preserve"> </w:t>
      </w:r>
      <w:r w:rsidR="004A76B3" w:rsidRPr="00B91E1C">
        <w:rPr>
          <w:rFonts w:ascii="Bookman Old Style" w:hAnsi="Bookman Old Style" w:cs="Arial"/>
          <w:bCs/>
          <w:sz w:val="22"/>
          <w:szCs w:val="22"/>
          <w:lang w:val="es-ES"/>
        </w:rPr>
        <w:t>impide que se configure la teoría que se analiza.</w:t>
      </w:r>
    </w:p>
    <w:p w:rsidR="000807F5" w:rsidRPr="00B91E1C" w:rsidRDefault="003F4C00" w:rsidP="00F634F5">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t xml:space="preserve">Desde mi punto de vista, esta lectura tan </w:t>
      </w:r>
      <w:r w:rsidR="00AF4D95" w:rsidRPr="00B91E1C">
        <w:rPr>
          <w:rFonts w:ascii="Bookman Old Style" w:hAnsi="Bookman Old Style"/>
          <w:sz w:val="22"/>
          <w:szCs w:val="22"/>
          <w:lang w:val="es-ES"/>
        </w:rPr>
        <w:t>ajustada</w:t>
      </w:r>
      <w:r w:rsidRPr="00B91E1C">
        <w:rPr>
          <w:rFonts w:ascii="Bookman Old Style" w:hAnsi="Bookman Old Style"/>
          <w:sz w:val="22"/>
          <w:szCs w:val="22"/>
          <w:lang w:val="es-ES"/>
        </w:rPr>
        <w:t xml:space="preserve"> a los requisitos de una teoría que la misma providencia presentó como cambiante en el tiempo, deja una </w:t>
      </w:r>
      <w:r w:rsidR="007D1ACD" w:rsidRPr="00B91E1C">
        <w:rPr>
          <w:rFonts w:ascii="Bookman Old Style" w:hAnsi="Bookman Old Style"/>
          <w:sz w:val="22"/>
          <w:szCs w:val="22"/>
          <w:lang w:val="es-ES"/>
        </w:rPr>
        <w:t xml:space="preserve">profunda </w:t>
      </w:r>
      <w:r w:rsidRPr="00B91E1C">
        <w:rPr>
          <w:rFonts w:ascii="Bookman Old Style" w:hAnsi="Bookman Old Style"/>
          <w:sz w:val="22"/>
          <w:szCs w:val="22"/>
          <w:lang w:val="es-ES"/>
        </w:rPr>
        <w:t xml:space="preserve">sensación de injusticia, porque no tiene en cuenta que </w:t>
      </w:r>
      <w:r w:rsidR="009D3958" w:rsidRPr="00B91E1C">
        <w:rPr>
          <w:rFonts w:ascii="Bookman Old Style" w:hAnsi="Bookman Old Style"/>
          <w:sz w:val="22"/>
          <w:szCs w:val="22"/>
          <w:lang w:val="es-ES"/>
        </w:rPr>
        <w:t>existen</w:t>
      </w:r>
      <w:r w:rsidRPr="00B91E1C">
        <w:rPr>
          <w:rFonts w:ascii="Bookman Old Style" w:hAnsi="Bookman Old Style"/>
          <w:sz w:val="22"/>
          <w:szCs w:val="22"/>
          <w:lang w:val="es-ES"/>
        </w:rPr>
        <w:t xml:space="preserve"> muchos </w:t>
      </w:r>
      <w:r w:rsidR="007D1ACD" w:rsidRPr="00B91E1C">
        <w:rPr>
          <w:rFonts w:ascii="Bookman Old Style" w:hAnsi="Bookman Old Style"/>
          <w:sz w:val="22"/>
          <w:szCs w:val="22"/>
          <w:lang w:val="es-ES"/>
        </w:rPr>
        <w:t xml:space="preserve">y diversos </w:t>
      </w:r>
      <w:r w:rsidRPr="00B91E1C">
        <w:rPr>
          <w:rFonts w:ascii="Bookman Old Style" w:hAnsi="Bookman Old Style"/>
          <w:sz w:val="22"/>
          <w:szCs w:val="22"/>
          <w:lang w:val="es-ES"/>
        </w:rPr>
        <w:t xml:space="preserve">supuestos de enriquecimiento sin causa, de manera que </w:t>
      </w:r>
      <w:r w:rsidR="007D1ACD" w:rsidRPr="00B91E1C">
        <w:rPr>
          <w:rFonts w:ascii="Bookman Old Style" w:hAnsi="Bookman Old Style"/>
          <w:sz w:val="22"/>
          <w:szCs w:val="22"/>
          <w:lang w:val="es-ES"/>
        </w:rPr>
        <w:t>frente a algunos</w:t>
      </w:r>
      <w:r w:rsidRPr="00B91E1C">
        <w:rPr>
          <w:rFonts w:ascii="Bookman Old Style" w:hAnsi="Bookman Old Style"/>
          <w:sz w:val="22"/>
          <w:szCs w:val="22"/>
          <w:lang w:val="es-ES"/>
        </w:rPr>
        <w:t xml:space="preserve"> </w:t>
      </w:r>
      <w:r w:rsidR="007D1ACD" w:rsidRPr="00B91E1C">
        <w:rPr>
          <w:rFonts w:ascii="Bookman Old Style" w:hAnsi="Bookman Old Style"/>
          <w:sz w:val="22"/>
          <w:szCs w:val="22"/>
          <w:lang w:val="es-ES"/>
        </w:rPr>
        <w:t xml:space="preserve">se justifica </w:t>
      </w:r>
      <w:r w:rsidRPr="00B91E1C">
        <w:rPr>
          <w:rFonts w:ascii="Bookman Old Style" w:hAnsi="Bookman Old Style"/>
          <w:sz w:val="22"/>
          <w:szCs w:val="22"/>
          <w:lang w:val="es-ES"/>
        </w:rPr>
        <w:t xml:space="preserve">exigir este elemento y </w:t>
      </w:r>
      <w:r w:rsidR="00CC1BA9">
        <w:rPr>
          <w:rFonts w:ascii="Bookman Old Style" w:hAnsi="Bookman Old Style"/>
          <w:sz w:val="22"/>
          <w:szCs w:val="22"/>
          <w:lang w:val="es-ES"/>
        </w:rPr>
        <w:t>frente a</w:t>
      </w:r>
      <w:r w:rsidR="007D1ACD" w:rsidRPr="00B91E1C">
        <w:rPr>
          <w:rFonts w:ascii="Bookman Old Style" w:hAnsi="Bookman Old Style"/>
          <w:sz w:val="22"/>
          <w:szCs w:val="22"/>
          <w:lang w:val="es-ES"/>
        </w:rPr>
        <w:t xml:space="preserve"> </w:t>
      </w:r>
      <w:r w:rsidRPr="00B91E1C">
        <w:rPr>
          <w:rFonts w:ascii="Bookman Old Style" w:hAnsi="Bookman Old Style"/>
          <w:sz w:val="22"/>
          <w:szCs w:val="22"/>
          <w:lang w:val="es-ES"/>
        </w:rPr>
        <w:t xml:space="preserve">otros no, </w:t>
      </w:r>
      <w:r w:rsidR="007D1ACD" w:rsidRPr="00B91E1C">
        <w:rPr>
          <w:rFonts w:ascii="Bookman Old Style" w:hAnsi="Bookman Old Style"/>
          <w:sz w:val="22"/>
          <w:szCs w:val="22"/>
          <w:lang w:val="es-ES"/>
        </w:rPr>
        <w:t>por</w:t>
      </w:r>
      <w:r w:rsidRPr="00B91E1C">
        <w:rPr>
          <w:rFonts w:ascii="Bookman Old Style" w:hAnsi="Bookman Old Style"/>
          <w:sz w:val="22"/>
          <w:szCs w:val="22"/>
          <w:lang w:val="es-ES"/>
        </w:rPr>
        <w:t>que el objetivo de la teoría es resolver los problemas de traslado patrimonial injustificado de un sujeto a otro</w:t>
      </w:r>
      <w:r w:rsidR="007D1ACD" w:rsidRPr="00B91E1C">
        <w:rPr>
          <w:rFonts w:ascii="Bookman Old Style" w:hAnsi="Bookman Old Style"/>
          <w:sz w:val="22"/>
          <w:szCs w:val="22"/>
          <w:lang w:val="es-ES"/>
        </w:rPr>
        <w:t>, antes que sancionar la violación a la ley</w:t>
      </w:r>
      <w:r w:rsidRPr="00B91E1C">
        <w:rPr>
          <w:rFonts w:ascii="Bookman Old Style" w:hAnsi="Bookman Old Style"/>
          <w:sz w:val="22"/>
          <w:szCs w:val="22"/>
          <w:lang w:val="es-ES"/>
        </w:rPr>
        <w:t xml:space="preserve">. </w:t>
      </w:r>
    </w:p>
    <w:p w:rsidR="003F4C00" w:rsidRDefault="003F4C00" w:rsidP="00F634F5">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t>La sentencia, inclusive, muestra que el requisito que se echa de menos lo añadió la jurisprudencia de la Corte Suprema de Justicia de Colombia, por tanto</w:t>
      </w:r>
      <w:r w:rsidR="00224CD3" w:rsidRPr="00B91E1C">
        <w:rPr>
          <w:rFonts w:ascii="Bookman Old Style" w:hAnsi="Bookman Old Style"/>
          <w:sz w:val="22"/>
          <w:szCs w:val="22"/>
          <w:lang w:val="es-ES"/>
        </w:rPr>
        <w:t xml:space="preserve"> no era </w:t>
      </w:r>
      <w:r w:rsidRPr="00B91E1C">
        <w:rPr>
          <w:rFonts w:ascii="Bookman Old Style" w:hAnsi="Bookman Old Style"/>
          <w:i/>
          <w:sz w:val="22"/>
          <w:szCs w:val="22"/>
          <w:lang w:val="es-ES"/>
        </w:rPr>
        <w:t>condi</w:t>
      </w:r>
      <w:r w:rsidR="00224CD3" w:rsidRPr="00B91E1C">
        <w:rPr>
          <w:rFonts w:ascii="Bookman Old Style" w:hAnsi="Bookman Old Style"/>
          <w:i/>
          <w:sz w:val="22"/>
          <w:szCs w:val="22"/>
          <w:lang w:val="es-ES"/>
        </w:rPr>
        <w:t>tio</w:t>
      </w:r>
      <w:r w:rsidR="00224CD3" w:rsidRPr="00B91E1C">
        <w:rPr>
          <w:rFonts w:ascii="Bookman Old Style" w:hAnsi="Bookman Old Style"/>
          <w:sz w:val="22"/>
          <w:szCs w:val="22"/>
          <w:lang w:val="es-ES"/>
        </w:rPr>
        <w:t xml:space="preserve"> </w:t>
      </w:r>
      <w:r w:rsidRPr="00B91E1C">
        <w:rPr>
          <w:rFonts w:ascii="Bookman Old Style" w:hAnsi="Bookman Old Style"/>
          <w:i/>
          <w:sz w:val="22"/>
          <w:szCs w:val="22"/>
          <w:lang w:val="es-ES"/>
        </w:rPr>
        <w:t>sine qua non</w:t>
      </w:r>
      <w:r w:rsidRPr="00B91E1C">
        <w:rPr>
          <w:rFonts w:ascii="Bookman Old Style" w:hAnsi="Bookman Old Style"/>
          <w:sz w:val="22"/>
          <w:szCs w:val="22"/>
          <w:lang w:val="es-ES"/>
        </w:rPr>
        <w:t xml:space="preserve"> de la teoría</w:t>
      </w:r>
      <w:r w:rsidR="008336E4">
        <w:rPr>
          <w:rFonts w:ascii="Bookman Old Style" w:hAnsi="Bookman Old Style"/>
          <w:sz w:val="22"/>
          <w:szCs w:val="22"/>
          <w:lang w:val="es-ES"/>
        </w:rPr>
        <w:t xml:space="preserve"> romana ni de la francesa</w:t>
      </w:r>
      <w:r w:rsidRPr="00B91E1C">
        <w:rPr>
          <w:rFonts w:ascii="Bookman Old Style" w:hAnsi="Bookman Old Style"/>
          <w:sz w:val="22"/>
          <w:szCs w:val="22"/>
          <w:lang w:val="es-ES"/>
        </w:rPr>
        <w:t>, de modo que es configurable</w:t>
      </w:r>
      <w:r w:rsidR="007D1ACD" w:rsidRPr="00B91E1C">
        <w:rPr>
          <w:rFonts w:ascii="Bookman Old Style" w:hAnsi="Bookman Old Style"/>
          <w:sz w:val="22"/>
          <w:szCs w:val="22"/>
          <w:lang w:val="es-ES"/>
        </w:rPr>
        <w:t xml:space="preserve"> –</w:t>
      </w:r>
      <w:r w:rsidRPr="00B91E1C">
        <w:rPr>
          <w:rFonts w:ascii="Bookman Old Style" w:hAnsi="Bookman Old Style"/>
          <w:sz w:val="22"/>
          <w:szCs w:val="22"/>
          <w:lang w:val="es-ES"/>
        </w:rPr>
        <w:t>siempre ha sido configurable</w:t>
      </w:r>
      <w:r w:rsidR="007D1ACD" w:rsidRPr="00B91E1C">
        <w:rPr>
          <w:rFonts w:ascii="Bookman Old Style" w:hAnsi="Bookman Old Style"/>
          <w:sz w:val="22"/>
          <w:szCs w:val="22"/>
          <w:lang w:val="es-ES"/>
        </w:rPr>
        <w:t>–</w:t>
      </w:r>
      <w:r w:rsidRPr="00B91E1C">
        <w:rPr>
          <w:rFonts w:ascii="Bookman Old Style" w:hAnsi="Bookman Old Style"/>
          <w:sz w:val="22"/>
          <w:szCs w:val="22"/>
          <w:lang w:val="es-ES"/>
        </w:rPr>
        <w:t xml:space="preserve"> porque la ley no </w:t>
      </w:r>
      <w:r w:rsidR="007D1ACD" w:rsidRPr="00B91E1C">
        <w:rPr>
          <w:rFonts w:ascii="Bookman Old Style" w:hAnsi="Bookman Old Style"/>
          <w:sz w:val="22"/>
          <w:szCs w:val="22"/>
          <w:lang w:val="es-ES"/>
        </w:rPr>
        <w:t>enumera</w:t>
      </w:r>
      <w:r w:rsidRPr="00B91E1C">
        <w:rPr>
          <w:rFonts w:ascii="Bookman Old Style" w:hAnsi="Bookman Old Style"/>
          <w:sz w:val="22"/>
          <w:szCs w:val="22"/>
          <w:lang w:val="es-ES"/>
        </w:rPr>
        <w:t xml:space="preserve"> sus elementos, sino la doctrina y la jurisprudencia; es decir, así como la Corte Suprema inc</w:t>
      </w:r>
      <w:r w:rsidR="008336E4">
        <w:rPr>
          <w:rFonts w:ascii="Bookman Old Style" w:hAnsi="Bookman Old Style"/>
          <w:sz w:val="22"/>
          <w:szCs w:val="22"/>
          <w:lang w:val="es-ES"/>
        </w:rPr>
        <w:t xml:space="preserve">orporó </w:t>
      </w:r>
      <w:r w:rsidRPr="00B91E1C">
        <w:rPr>
          <w:rFonts w:ascii="Bookman Old Style" w:hAnsi="Bookman Old Style"/>
          <w:sz w:val="22"/>
          <w:szCs w:val="22"/>
          <w:lang w:val="es-ES"/>
        </w:rPr>
        <w:t>el requisito</w:t>
      </w:r>
      <w:r w:rsidR="008336E4">
        <w:rPr>
          <w:rFonts w:ascii="Bookman Old Style" w:hAnsi="Bookman Old Style"/>
          <w:sz w:val="22"/>
          <w:szCs w:val="22"/>
          <w:lang w:val="es-ES"/>
        </w:rPr>
        <w:t>,</w:t>
      </w:r>
      <w:r w:rsidRPr="00B91E1C">
        <w:rPr>
          <w:rFonts w:ascii="Bookman Old Style" w:hAnsi="Bookman Old Style"/>
          <w:sz w:val="22"/>
          <w:szCs w:val="22"/>
          <w:lang w:val="es-ES"/>
        </w:rPr>
        <w:t xml:space="preserve"> con el propósito de entender </w:t>
      </w:r>
      <w:r w:rsidR="007D1ACD" w:rsidRPr="00B91E1C">
        <w:rPr>
          <w:rFonts w:ascii="Bookman Old Style" w:hAnsi="Bookman Old Style"/>
          <w:sz w:val="22"/>
          <w:szCs w:val="22"/>
          <w:lang w:val="es-ES"/>
        </w:rPr>
        <w:t>mejor</w:t>
      </w:r>
      <w:r w:rsidRPr="00B91E1C">
        <w:rPr>
          <w:rFonts w:ascii="Bookman Old Style" w:hAnsi="Bookman Old Style"/>
          <w:sz w:val="22"/>
          <w:szCs w:val="22"/>
          <w:lang w:val="es-ES"/>
        </w:rPr>
        <w:t xml:space="preserve"> la imposibilidad de </w:t>
      </w:r>
      <w:r w:rsidR="007D1ACD" w:rsidRPr="00B91E1C">
        <w:rPr>
          <w:rFonts w:ascii="Bookman Old Style" w:hAnsi="Bookman Old Style"/>
          <w:sz w:val="22"/>
          <w:szCs w:val="22"/>
          <w:lang w:val="es-ES"/>
        </w:rPr>
        <w:t>autorizar</w:t>
      </w:r>
      <w:r w:rsidR="001E02CE" w:rsidRPr="00B91E1C">
        <w:rPr>
          <w:rFonts w:ascii="Bookman Old Style" w:hAnsi="Bookman Old Style"/>
          <w:sz w:val="22"/>
          <w:szCs w:val="22"/>
          <w:lang w:val="es-ES"/>
        </w:rPr>
        <w:t xml:space="preserve"> la</w:t>
      </w:r>
      <w:r w:rsidRPr="00B91E1C">
        <w:rPr>
          <w:rFonts w:ascii="Bookman Old Style" w:hAnsi="Bookman Old Style"/>
          <w:sz w:val="22"/>
          <w:szCs w:val="22"/>
          <w:lang w:val="es-ES"/>
        </w:rPr>
        <w:t xml:space="preserve">s restituciones mutuas </w:t>
      </w:r>
      <w:r w:rsidR="001E02CE" w:rsidRPr="00B91E1C">
        <w:rPr>
          <w:rFonts w:ascii="Bookman Old Style" w:hAnsi="Bookman Old Style"/>
          <w:sz w:val="22"/>
          <w:szCs w:val="22"/>
          <w:lang w:val="es-ES"/>
        </w:rPr>
        <w:t>en c</w:t>
      </w:r>
      <w:r w:rsidRPr="00B91E1C">
        <w:rPr>
          <w:rFonts w:ascii="Bookman Old Style" w:hAnsi="Bookman Old Style"/>
          <w:sz w:val="22"/>
          <w:szCs w:val="22"/>
          <w:lang w:val="es-ES"/>
        </w:rPr>
        <w:t>ontrato</w:t>
      </w:r>
      <w:r w:rsidR="001E02CE" w:rsidRPr="00B91E1C">
        <w:rPr>
          <w:rFonts w:ascii="Bookman Old Style" w:hAnsi="Bookman Old Style"/>
          <w:sz w:val="22"/>
          <w:szCs w:val="22"/>
          <w:lang w:val="es-ES"/>
        </w:rPr>
        <w:t>s</w:t>
      </w:r>
      <w:r w:rsidR="007D1ACD" w:rsidRPr="00B91E1C">
        <w:rPr>
          <w:rFonts w:ascii="Bookman Old Style" w:hAnsi="Bookman Old Style"/>
          <w:sz w:val="22"/>
          <w:szCs w:val="22"/>
          <w:lang w:val="es-ES"/>
        </w:rPr>
        <w:t xml:space="preserve"> que adolecen de </w:t>
      </w:r>
      <w:r w:rsidRPr="00B91E1C">
        <w:rPr>
          <w:rFonts w:ascii="Bookman Old Style" w:hAnsi="Bookman Old Style"/>
          <w:sz w:val="22"/>
          <w:szCs w:val="22"/>
          <w:lang w:val="es-ES"/>
        </w:rPr>
        <w:t xml:space="preserve">objeto o </w:t>
      </w:r>
      <w:r w:rsidR="007D1ACD" w:rsidRPr="00B91E1C">
        <w:rPr>
          <w:rFonts w:ascii="Bookman Old Style" w:hAnsi="Bookman Old Style"/>
          <w:sz w:val="22"/>
          <w:szCs w:val="22"/>
          <w:lang w:val="es-ES"/>
        </w:rPr>
        <w:t xml:space="preserve">de </w:t>
      </w:r>
      <w:r w:rsidRPr="00B91E1C">
        <w:rPr>
          <w:rFonts w:ascii="Bookman Old Style" w:hAnsi="Bookman Old Style"/>
          <w:sz w:val="22"/>
          <w:szCs w:val="22"/>
          <w:lang w:val="es-ES"/>
        </w:rPr>
        <w:t xml:space="preserve">causa ilícita, bien pudo el Consejo de Estado </w:t>
      </w:r>
      <w:r w:rsidR="008336E4">
        <w:rPr>
          <w:rFonts w:ascii="Bookman Old Style" w:hAnsi="Bookman Old Style"/>
          <w:sz w:val="22"/>
          <w:szCs w:val="22"/>
          <w:lang w:val="es-ES"/>
        </w:rPr>
        <w:t xml:space="preserve">eliminarlo o </w:t>
      </w:r>
      <w:r w:rsidRPr="00B91E1C">
        <w:rPr>
          <w:rFonts w:ascii="Bookman Old Style" w:hAnsi="Bookman Old Style"/>
          <w:sz w:val="22"/>
          <w:szCs w:val="22"/>
          <w:lang w:val="es-ES"/>
        </w:rPr>
        <w:t xml:space="preserve">crear su propio requisito para </w:t>
      </w:r>
      <w:r w:rsidR="007D1ACD" w:rsidRPr="00B91E1C">
        <w:rPr>
          <w:rFonts w:ascii="Bookman Old Style" w:hAnsi="Bookman Old Style"/>
          <w:sz w:val="22"/>
          <w:szCs w:val="22"/>
          <w:lang w:val="es-ES"/>
        </w:rPr>
        <w:t>comprender</w:t>
      </w:r>
      <w:r w:rsidR="00224CD3" w:rsidRPr="00B91E1C">
        <w:rPr>
          <w:rFonts w:ascii="Bookman Old Style" w:hAnsi="Bookman Old Style"/>
          <w:sz w:val="22"/>
          <w:szCs w:val="22"/>
          <w:lang w:val="es-ES"/>
        </w:rPr>
        <w:t xml:space="preserve"> y administrar</w:t>
      </w:r>
      <w:r w:rsidR="007D1ACD" w:rsidRPr="00B91E1C">
        <w:rPr>
          <w:rFonts w:ascii="Bookman Old Style" w:hAnsi="Bookman Old Style"/>
          <w:sz w:val="22"/>
          <w:szCs w:val="22"/>
          <w:lang w:val="es-ES"/>
        </w:rPr>
        <w:t xml:space="preserve"> </w:t>
      </w:r>
      <w:r w:rsidRPr="00B91E1C">
        <w:rPr>
          <w:rFonts w:ascii="Bookman Old Style" w:hAnsi="Bookman Old Style"/>
          <w:sz w:val="22"/>
          <w:szCs w:val="22"/>
          <w:lang w:val="es-ES"/>
        </w:rPr>
        <w:t>l</w:t>
      </w:r>
      <w:r w:rsidR="001E02CE" w:rsidRPr="00B91E1C">
        <w:rPr>
          <w:rFonts w:ascii="Bookman Old Style" w:hAnsi="Bookman Old Style"/>
          <w:sz w:val="22"/>
          <w:szCs w:val="22"/>
          <w:lang w:val="es-ES"/>
        </w:rPr>
        <w:t>a ejecución de prestaciones sin contrato perfeccionado, y hacer prevalecer una idea de justicia material en lugar de unos requisitos que se deben ajustar a cada caso</w:t>
      </w:r>
      <w:r w:rsidR="007D1ACD" w:rsidRPr="00B91E1C">
        <w:rPr>
          <w:rFonts w:ascii="Bookman Old Style" w:hAnsi="Bookman Old Style"/>
          <w:sz w:val="22"/>
          <w:szCs w:val="22"/>
          <w:lang w:val="es-ES"/>
        </w:rPr>
        <w:t>.</w:t>
      </w:r>
    </w:p>
    <w:p w:rsidR="001B0718" w:rsidRDefault="001B0718" w:rsidP="00F634F5">
      <w:pPr>
        <w:spacing w:line="276" w:lineRule="auto"/>
        <w:ind w:firstLine="708"/>
        <w:jc w:val="both"/>
        <w:rPr>
          <w:rFonts w:ascii="Bookman Old Style" w:hAnsi="Bookman Old Style"/>
          <w:sz w:val="22"/>
          <w:szCs w:val="22"/>
          <w:lang w:val="es-ES"/>
        </w:rPr>
      </w:pPr>
      <w:r>
        <w:rPr>
          <w:rFonts w:ascii="Bookman Old Style" w:hAnsi="Bookman Old Style"/>
          <w:sz w:val="22"/>
          <w:szCs w:val="22"/>
          <w:lang w:val="es-ES"/>
        </w:rPr>
        <w:t xml:space="preserve">Aquí debió salir a relucir, una vez más en la historia, en los momentos clave de ella, el </w:t>
      </w:r>
      <w:r w:rsidRPr="001B0718">
        <w:rPr>
          <w:rFonts w:ascii="Bookman Old Style" w:hAnsi="Bookman Old Style"/>
          <w:i/>
          <w:sz w:val="22"/>
          <w:szCs w:val="22"/>
          <w:lang w:val="es-ES"/>
        </w:rPr>
        <w:t xml:space="preserve">juez administrativo </w:t>
      </w:r>
      <w:r w:rsidR="00673DF8">
        <w:rPr>
          <w:rFonts w:ascii="Bookman Old Style" w:hAnsi="Bookman Old Style"/>
          <w:i/>
          <w:sz w:val="22"/>
          <w:szCs w:val="22"/>
          <w:lang w:val="es-ES"/>
        </w:rPr>
        <w:t xml:space="preserve">que </w:t>
      </w:r>
      <w:r w:rsidRPr="001B0718">
        <w:rPr>
          <w:rFonts w:ascii="Bookman Old Style" w:hAnsi="Bookman Old Style"/>
          <w:i/>
          <w:sz w:val="22"/>
          <w:szCs w:val="22"/>
          <w:lang w:val="es-ES"/>
        </w:rPr>
        <w:t>deroga</w:t>
      </w:r>
      <w:r>
        <w:rPr>
          <w:rFonts w:ascii="Bookman Old Style" w:hAnsi="Bookman Old Style"/>
          <w:sz w:val="22"/>
          <w:szCs w:val="22"/>
          <w:lang w:val="es-ES"/>
        </w:rPr>
        <w:t xml:space="preserve"> el derecho privado, cuando ha sido necesario para ajustarse a la realidad de la relación Administración-administrado; o el </w:t>
      </w:r>
      <w:r w:rsidRPr="001B0718">
        <w:rPr>
          <w:rFonts w:ascii="Bookman Old Style" w:hAnsi="Bookman Old Style"/>
          <w:i/>
          <w:sz w:val="22"/>
          <w:szCs w:val="22"/>
          <w:lang w:val="es-ES"/>
        </w:rPr>
        <w:t>juez administrativo creador</w:t>
      </w:r>
      <w:r>
        <w:rPr>
          <w:rFonts w:ascii="Bookman Old Style" w:hAnsi="Bookman Old Style"/>
          <w:sz w:val="22"/>
          <w:szCs w:val="22"/>
          <w:lang w:val="es-ES"/>
        </w:rPr>
        <w:t xml:space="preserve"> de derecho administrativo, con presidencia del derecho privado, formando instituciones necesarias para administrar al Estado, </w:t>
      </w:r>
      <w:r>
        <w:rPr>
          <w:rFonts w:ascii="Bookman Old Style" w:hAnsi="Bookman Old Style"/>
          <w:sz w:val="22"/>
          <w:szCs w:val="22"/>
          <w:lang w:val="es-ES"/>
        </w:rPr>
        <w:lastRenderedPageBreak/>
        <w:t>aunque el derecho privado las tenga disponibles, solo que con contenidos y efectos distintos a los que se requieren en la relación con lo público.</w:t>
      </w:r>
    </w:p>
    <w:p w:rsidR="00880862" w:rsidRDefault="007909E8" w:rsidP="00F634F5">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t xml:space="preserve">En esta perspectiva, </w:t>
      </w:r>
      <w:r w:rsidR="00880862">
        <w:rPr>
          <w:rFonts w:ascii="Bookman Old Style" w:hAnsi="Bookman Old Style"/>
          <w:sz w:val="22"/>
          <w:szCs w:val="22"/>
          <w:lang w:val="es-ES"/>
        </w:rPr>
        <w:t xml:space="preserve">finalmente </w:t>
      </w:r>
      <w:r w:rsidRPr="00B91E1C">
        <w:rPr>
          <w:rFonts w:ascii="Bookman Old Style" w:hAnsi="Bookman Old Style"/>
          <w:sz w:val="22"/>
          <w:szCs w:val="22"/>
          <w:lang w:val="es-ES"/>
        </w:rPr>
        <w:t xml:space="preserve">la sentencia concluyó </w:t>
      </w:r>
      <w:proofErr w:type="gramStart"/>
      <w:r w:rsidRPr="00B91E1C">
        <w:rPr>
          <w:rFonts w:ascii="Bookman Old Style" w:hAnsi="Bookman Old Style"/>
          <w:sz w:val="22"/>
          <w:szCs w:val="22"/>
          <w:lang w:val="es-ES"/>
        </w:rPr>
        <w:t>que</w:t>
      </w:r>
      <w:proofErr w:type="gramEnd"/>
      <w:r w:rsidRPr="00B91E1C">
        <w:rPr>
          <w:rFonts w:ascii="Bookman Old Style" w:hAnsi="Bookman Old Style"/>
          <w:sz w:val="22"/>
          <w:szCs w:val="22"/>
          <w:lang w:val="es-ES"/>
        </w:rPr>
        <w:t xml:space="preserve"> en tres supuestos, y otros que se parezcan –como dice la providencia– </w:t>
      </w:r>
      <w:r w:rsidR="00CC2C8F" w:rsidRPr="00B91E1C">
        <w:rPr>
          <w:rFonts w:ascii="Bookman Old Style" w:hAnsi="Bookman Old Style"/>
          <w:sz w:val="22"/>
          <w:szCs w:val="22"/>
          <w:lang w:val="es-ES"/>
        </w:rPr>
        <w:t xml:space="preserve">es posible inaplicar la rigidez de la regla general creada, y por tanto </w:t>
      </w:r>
      <w:r w:rsidR="00880862">
        <w:rPr>
          <w:rFonts w:ascii="Bookman Old Style" w:hAnsi="Bookman Old Style"/>
          <w:sz w:val="22"/>
          <w:szCs w:val="22"/>
          <w:lang w:val="es-ES"/>
        </w:rPr>
        <w:t xml:space="preserve">sí </w:t>
      </w:r>
      <w:r w:rsidR="00CC2C8F" w:rsidRPr="00B91E1C">
        <w:rPr>
          <w:rFonts w:ascii="Bookman Old Style" w:hAnsi="Bookman Old Style"/>
          <w:sz w:val="22"/>
          <w:szCs w:val="22"/>
          <w:lang w:val="es-ES"/>
        </w:rPr>
        <w:t xml:space="preserve">debe pagársele al empobrecido el valor de lo que dio, hizo o entregó en favor del enriquecido. Esto significa que </w:t>
      </w:r>
      <w:r w:rsidR="00880862">
        <w:rPr>
          <w:rFonts w:ascii="Bookman Old Style" w:hAnsi="Bookman Old Style"/>
          <w:sz w:val="22"/>
          <w:szCs w:val="22"/>
          <w:lang w:val="es-ES"/>
        </w:rPr>
        <w:t>en estos eventos se</w:t>
      </w:r>
      <w:r w:rsidR="00CC2C8F" w:rsidRPr="00B91E1C">
        <w:rPr>
          <w:rFonts w:ascii="Bookman Old Style" w:hAnsi="Bookman Old Style"/>
          <w:sz w:val="22"/>
          <w:szCs w:val="22"/>
          <w:lang w:val="es-ES"/>
        </w:rPr>
        <w:t xml:space="preserve"> entiende, admite o acepta que no exista contrato escrito, es decir, que se viol</w:t>
      </w:r>
      <w:r w:rsidR="00880862">
        <w:rPr>
          <w:rFonts w:ascii="Bookman Old Style" w:hAnsi="Bookman Old Style"/>
          <w:sz w:val="22"/>
          <w:szCs w:val="22"/>
          <w:lang w:val="es-ES"/>
        </w:rPr>
        <w:t>ó</w:t>
      </w:r>
      <w:r w:rsidR="00CC2C8F" w:rsidRPr="00B91E1C">
        <w:rPr>
          <w:rFonts w:ascii="Bookman Old Style" w:hAnsi="Bookman Old Style"/>
          <w:sz w:val="22"/>
          <w:szCs w:val="22"/>
          <w:lang w:val="es-ES"/>
        </w:rPr>
        <w:t xml:space="preserve"> la </w:t>
      </w:r>
      <w:proofErr w:type="gramStart"/>
      <w:r w:rsidR="00CC2C8F" w:rsidRPr="00B91E1C">
        <w:rPr>
          <w:rFonts w:ascii="Bookman Old Style" w:hAnsi="Bookman Old Style"/>
          <w:sz w:val="22"/>
          <w:szCs w:val="22"/>
          <w:lang w:val="es-ES"/>
        </w:rPr>
        <w:t>ley</w:t>
      </w:r>
      <w:proofErr w:type="gramEnd"/>
      <w:r w:rsidR="00880862">
        <w:rPr>
          <w:rFonts w:ascii="Bookman Old Style" w:hAnsi="Bookman Old Style"/>
          <w:sz w:val="22"/>
          <w:szCs w:val="22"/>
          <w:lang w:val="es-ES"/>
        </w:rPr>
        <w:t xml:space="preserve"> pero hay que pagar</w:t>
      </w:r>
      <w:r w:rsidR="00CC2C8F" w:rsidRPr="00B91E1C">
        <w:rPr>
          <w:rFonts w:ascii="Bookman Old Style" w:hAnsi="Bookman Old Style"/>
          <w:sz w:val="22"/>
          <w:szCs w:val="22"/>
          <w:lang w:val="es-ES"/>
        </w:rPr>
        <w:t xml:space="preserve">. </w:t>
      </w:r>
    </w:p>
    <w:p w:rsidR="007909E8" w:rsidRPr="00B91E1C" w:rsidRDefault="00CC2C8F" w:rsidP="00F634F5">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t xml:space="preserve">Si </w:t>
      </w:r>
      <w:r w:rsidR="00880862">
        <w:rPr>
          <w:rFonts w:ascii="Bookman Old Style" w:hAnsi="Bookman Old Style"/>
          <w:sz w:val="22"/>
          <w:szCs w:val="22"/>
          <w:lang w:val="es-ES"/>
        </w:rPr>
        <w:t>se</w:t>
      </w:r>
      <w:r w:rsidRPr="00B91E1C">
        <w:rPr>
          <w:rFonts w:ascii="Bookman Old Style" w:hAnsi="Bookman Old Style"/>
          <w:sz w:val="22"/>
          <w:szCs w:val="22"/>
          <w:lang w:val="es-ES"/>
        </w:rPr>
        <w:t xml:space="preserve"> conclu</w:t>
      </w:r>
      <w:r w:rsidR="00F31194" w:rsidRPr="00B91E1C">
        <w:rPr>
          <w:rFonts w:ascii="Bookman Old Style" w:hAnsi="Bookman Old Style"/>
          <w:sz w:val="22"/>
          <w:szCs w:val="22"/>
          <w:lang w:val="es-ES"/>
        </w:rPr>
        <w:t>yó</w:t>
      </w:r>
      <w:r w:rsidRPr="00B91E1C">
        <w:rPr>
          <w:rFonts w:ascii="Bookman Old Style" w:hAnsi="Bookman Old Style"/>
          <w:sz w:val="22"/>
          <w:szCs w:val="22"/>
          <w:lang w:val="es-ES"/>
        </w:rPr>
        <w:t xml:space="preserve"> esto</w:t>
      </w:r>
      <w:r w:rsidR="00F31194" w:rsidRPr="00B91E1C">
        <w:rPr>
          <w:rFonts w:ascii="Bookman Old Style" w:hAnsi="Bookman Old Style"/>
          <w:sz w:val="22"/>
          <w:szCs w:val="22"/>
          <w:lang w:val="es-ES"/>
        </w:rPr>
        <w:t>,</w:t>
      </w:r>
      <w:r w:rsidRPr="00B91E1C">
        <w:rPr>
          <w:rFonts w:ascii="Bookman Old Style" w:hAnsi="Bookman Old Style"/>
          <w:sz w:val="22"/>
          <w:szCs w:val="22"/>
          <w:lang w:val="es-ES"/>
        </w:rPr>
        <w:t xml:space="preserve"> </w:t>
      </w:r>
      <w:r w:rsidR="00880862">
        <w:rPr>
          <w:rFonts w:ascii="Bookman Old Style" w:hAnsi="Bookman Old Style"/>
          <w:sz w:val="22"/>
          <w:szCs w:val="22"/>
          <w:lang w:val="es-ES"/>
        </w:rPr>
        <w:t>entonces</w:t>
      </w:r>
      <w:r w:rsidRPr="00B91E1C">
        <w:rPr>
          <w:rFonts w:ascii="Bookman Old Style" w:hAnsi="Bookman Old Style"/>
          <w:sz w:val="22"/>
          <w:szCs w:val="22"/>
          <w:lang w:val="es-ES"/>
        </w:rPr>
        <w:t xml:space="preserve"> el quinto requisito de la teoría del enriquecimiento sin causa </w:t>
      </w:r>
      <w:r w:rsidR="00C0722C" w:rsidRPr="00B91E1C">
        <w:rPr>
          <w:rFonts w:ascii="Bookman Old Style" w:hAnsi="Bookman Old Style"/>
          <w:sz w:val="22"/>
          <w:szCs w:val="22"/>
          <w:lang w:val="es-ES"/>
        </w:rPr>
        <w:t xml:space="preserve">sí </w:t>
      </w:r>
      <w:r w:rsidRPr="00B91E1C">
        <w:rPr>
          <w:rFonts w:ascii="Bookman Old Style" w:hAnsi="Bookman Old Style"/>
          <w:sz w:val="22"/>
          <w:szCs w:val="22"/>
          <w:lang w:val="es-ES"/>
        </w:rPr>
        <w:t xml:space="preserve">es </w:t>
      </w:r>
      <w:r w:rsidR="00F31194" w:rsidRPr="00B91E1C">
        <w:rPr>
          <w:rFonts w:ascii="Bookman Old Style" w:hAnsi="Bookman Old Style"/>
          <w:sz w:val="22"/>
          <w:szCs w:val="22"/>
          <w:lang w:val="es-ES"/>
        </w:rPr>
        <w:t xml:space="preserve">prescindible, </w:t>
      </w:r>
      <w:r w:rsidR="00880862" w:rsidRPr="00B91E1C">
        <w:rPr>
          <w:rFonts w:ascii="Bookman Old Style" w:hAnsi="Bookman Old Style"/>
          <w:sz w:val="22"/>
          <w:szCs w:val="22"/>
          <w:lang w:val="es-ES"/>
        </w:rPr>
        <w:t>reemplazable o configurable</w:t>
      </w:r>
      <w:r w:rsidR="00880862">
        <w:rPr>
          <w:rFonts w:ascii="Bookman Old Style" w:hAnsi="Bookman Old Style"/>
          <w:sz w:val="22"/>
          <w:szCs w:val="22"/>
          <w:lang w:val="es-ES"/>
        </w:rPr>
        <w:t>, como se sugiere en este texto,</w:t>
      </w:r>
      <w:r w:rsidR="00F31194" w:rsidRPr="00B91E1C">
        <w:rPr>
          <w:rFonts w:ascii="Bookman Old Style" w:hAnsi="Bookman Old Style"/>
          <w:sz w:val="22"/>
          <w:szCs w:val="22"/>
          <w:lang w:val="es-ES"/>
        </w:rPr>
        <w:t xml:space="preserve"> en lugar de indisponible, porque no proviene del derecho positivo sino de la apreciación del juez.</w:t>
      </w:r>
    </w:p>
    <w:p w:rsidR="00F31194" w:rsidRPr="00B91E1C" w:rsidRDefault="00F31194" w:rsidP="00F634F5">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t xml:space="preserve">Esta creatividad se </w:t>
      </w:r>
      <w:r w:rsidR="00C0722C" w:rsidRPr="00B91E1C">
        <w:rPr>
          <w:rFonts w:ascii="Bookman Old Style" w:hAnsi="Bookman Old Style"/>
          <w:sz w:val="22"/>
          <w:szCs w:val="22"/>
          <w:lang w:val="es-ES"/>
        </w:rPr>
        <w:t>debió</w:t>
      </w:r>
      <w:r w:rsidRPr="00B91E1C">
        <w:rPr>
          <w:rFonts w:ascii="Bookman Old Style" w:hAnsi="Bookman Old Style"/>
          <w:sz w:val="22"/>
          <w:szCs w:val="22"/>
          <w:lang w:val="es-ES"/>
        </w:rPr>
        <w:t xml:space="preserve"> </w:t>
      </w:r>
      <w:r w:rsidR="00880862">
        <w:rPr>
          <w:rFonts w:ascii="Bookman Old Style" w:hAnsi="Bookman Old Style"/>
          <w:sz w:val="22"/>
          <w:szCs w:val="22"/>
          <w:lang w:val="es-ES"/>
        </w:rPr>
        <w:t xml:space="preserve">incrementar y </w:t>
      </w:r>
      <w:r w:rsidRPr="00B91E1C">
        <w:rPr>
          <w:rFonts w:ascii="Bookman Old Style" w:hAnsi="Bookman Old Style"/>
          <w:sz w:val="22"/>
          <w:szCs w:val="22"/>
          <w:lang w:val="es-ES"/>
        </w:rPr>
        <w:t xml:space="preserve">poner al servicio de la justicia y la equidad, para concluir, más bien, que cuando se presente un supuesto de enriquecimiento sin causa en materia contractual, </w:t>
      </w:r>
      <w:r w:rsidR="009C6117" w:rsidRPr="00B91E1C">
        <w:rPr>
          <w:rFonts w:ascii="Bookman Old Style" w:hAnsi="Bookman Old Style"/>
          <w:sz w:val="22"/>
          <w:szCs w:val="22"/>
          <w:lang w:val="es-ES"/>
        </w:rPr>
        <w:t>tratándose de</w:t>
      </w:r>
      <w:r w:rsidRPr="00B91E1C">
        <w:rPr>
          <w:rFonts w:ascii="Bookman Old Style" w:hAnsi="Bookman Old Style"/>
          <w:sz w:val="22"/>
          <w:szCs w:val="22"/>
          <w:lang w:val="es-ES"/>
        </w:rPr>
        <w:t xml:space="preserve"> entidades regidas por la Ley 80 de 1993, se debi</w:t>
      </w:r>
      <w:r w:rsidR="009C6117" w:rsidRPr="00B91E1C">
        <w:rPr>
          <w:rFonts w:ascii="Bookman Old Style" w:hAnsi="Bookman Old Style"/>
          <w:sz w:val="22"/>
          <w:szCs w:val="22"/>
          <w:lang w:val="es-ES"/>
        </w:rPr>
        <w:t>ó</w:t>
      </w:r>
      <w:r w:rsidRPr="00B91E1C">
        <w:rPr>
          <w:rFonts w:ascii="Bookman Old Style" w:hAnsi="Bookman Old Style"/>
          <w:sz w:val="22"/>
          <w:szCs w:val="22"/>
          <w:lang w:val="es-ES"/>
        </w:rPr>
        <w:t xml:space="preserve"> establecer</w:t>
      </w:r>
      <w:r w:rsidR="009C6117" w:rsidRPr="00B91E1C">
        <w:rPr>
          <w:rFonts w:ascii="Bookman Old Style" w:hAnsi="Bookman Old Style"/>
          <w:sz w:val="22"/>
          <w:szCs w:val="22"/>
          <w:lang w:val="es-ES"/>
        </w:rPr>
        <w:t>,</w:t>
      </w:r>
      <w:r w:rsidRPr="00B91E1C">
        <w:rPr>
          <w:rFonts w:ascii="Bookman Old Style" w:hAnsi="Bookman Old Style"/>
          <w:sz w:val="22"/>
          <w:szCs w:val="22"/>
          <w:lang w:val="es-ES"/>
        </w:rPr>
        <w:t xml:space="preserve"> como regla general</w:t>
      </w:r>
      <w:r w:rsidR="009C6117" w:rsidRPr="00B91E1C">
        <w:rPr>
          <w:rFonts w:ascii="Bookman Old Style" w:hAnsi="Bookman Old Style"/>
          <w:sz w:val="22"/>
          <w:szCs w:val="22"/>
          <w:lang w:val="es-ES"/>
        </w:rPr>
        <w:t>,</w:t>
      </w:r>
      <w:r w:rsidRPr="00B91E1C">
        <w:rPr>
          <w:rFonts w:ascii="Bookman Old Style" w:hAnsi="Bookman Old Style"/>
          <w:sz w:val="22"/>
          <w:szCs w:val="22"/>
          <w:lang w:val="es-ES"/>
        </w:rPr>
        <w:t xml:space="preserve"> que el juez debe </w:t>
      </w:r>
      <w:r w:rsidR="009C6117" w:rsidRPr="00B91E1C">
        <w:rPr>
          <w:rFonts w:ascii="Bookman Old Style" w:hAnsi="Bookman Old Style"/>
          <w:sz w:val="22"/>
          <w:szCs w:val="22"/>
          <w:lang w:val="es-ES"/>
        </w:rPr>
        <w:t>valorar</w:t>
      </w:r>
      <w:r w:rsidRPr="00B91E1C">
        <w:rPr>
          <w:rFonts w:ascii="Bookman Old Style" w:hAnsi="Bookman Old Style"/>
          <w:sz w:val="22"/>
          <w:szCs w:val="22"/>
          <w:lang w:val="es-ES"/>
        </w:rPr>
        <w:t xml:space="preserve"> la buena o la mala fe con la que haya actuado el empobrecido, ni siquiera el enriquecido</w:t>
      </w:r>
      <w:r w:rsidR="009C6117" w:rsidRPr="00B91E1C">
        <w:rPr>
          <w:rFonts w:ascii="Bookman Old Style" w:hAnsi="Bookman Old Style"/>
          <w:sz w:val="22"/>
          <w:szCs w:val="22"/>
          <w:lang w:val="es-ES"/>
        </w:rPr>
        <w:t xml:space="preserve">, para definir si tiene derecho a que se le pague el trabajo </w:t>
      </w:r>
      <w:r w:rsidR="00880862">
        <w:rPr>
          <w:rFonts w:ascii="Bookman Old Style" w:hAnsi="Bookman Old Style"/>
          <w:sz w:val="22"/>
          <w:szCs w:val="22"/>
          <w:lang w:val="es-ES"/>
        </w:rPr>
        <w:t>ejecutado</w:t>
      </w:r>
      <w:r w:rsidR="009C6117" w:rsidRPr="00B91E1C">
        <w:rPr>
          <w:rFonts w:ascii="Bookman Old Style" w:hAnsi="Bookman Old Style"/>
          <w:sz w:val="22"/>
          <w:szCs w:val="22"/>
          <w:lang w:val="es-ES"/>
        </w:rPr>
        <w:t>.</w:t>
      </w:r>
    </w:p>
    <w:p w:rsidR="009C6117" w:rsidRPr="00B91E1C" w:rsidRDefault="009C6117" w:rsidP="00F634F5">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t xml:space="preserve">Hacer depender la decisión de la buena o mala fe con la que actúa </w:t>
      </w:r>
      <w:r w:rsidR="00C34703">
        <w:rPr>
          <w:rFonts w:ascii="Bookman Old Style" w:hAnsi="Bookman Old Style"/>
          <w:sz w:val="22"/>
          <w:szCs w:val="22"/>
          <w:lang w:val="es-ES"/>
        </w:rPr>
        <w:t xml:space="preserve">el empobrecido </w:t>
      </w:r>
      <w:r w:rsidRPr="00B91E1C">
        <w:rPr>
          <w:rFonts w:ascii="Bookman Old Style" w:hAnsi="Bookman Old Style"/>
          <w:sz w:val="22"/>
          <w:szCs w:val="22"/>
          <w:lang w:val="es-ES"/>
        </w:rPr>
        <w:t>–como se sugiere aquí–</w:t>
      </w:r>
      <w:r w:rsidR="005E7B52" w:rsidRPr="00B91E1C">
        <w:rPr>
          <w:rFonts w:ascii="Bookman Old Style" w:hAnsi="Bookman Old Style"/>
          <w:sz w:val="22"/>
          <w:szCs w:val="22"/>
          <w:lang w:val="es-ES"/>
        </w:rPr>
        <w:t>,</w:t>
      </w:r>
      <w:r w:rsidRPr="00B91E1C">
        <w:rPr>
          <w:rFonts w:ascii="Bookman Old Style" w:hAnsi="Bookman Old Style"/>
          <w:sz w:val="22"/>
          <w:szCs w:val="22"/>
          <w:lang w:val="es-ES"/>
        </w:rPr>
        <w:t xml:space="preserve"> y no de la violación a las normas imperativas –como </w:t>
      </w:r>
      <w:r w:rsidR="00C34703">
        <w:rPr>
          <w:rFonts w:ascii="Bookman Old Style" w:hAnsi="Bookman Old Style"/>
          <w:sz w:val="22"/>
          <w:szCs w:val="22"/>
          <w:lang w:val="es-ES"/>
        </w:rPr>
        <w:t>dispuso l</w:t>
      </w:r>
      <w:r w:rsidRPr="00B91E1C">
        <w:rPr>
          <w:rFonts w:ascii="Bookman Old Style" w:hAnsi="Bookman Old Style"/>
          <w:sz w:val="22"/>
          <w:szCs w:val="22"/>
          <w:lang w:val="es-ES"/>
        </w:rPr>
        <w:t>a sentencia–</w:t>
      </w:r>
      <w:r w:rsidR="005E7B52" w:rsidRPr="00B91E1C">
        <w:rPr>
          <w:rFonts w:ascii="Bookman Old Style" w:hAnsi="Bookman Old Style"/>
          <w:sz w:val="22"/>
          <w:szCs w:val="22"/>
          <w:lang w:val="es-ES"/>
        </w:rPr>
        <w:t>,</w:t>
      </w:r>
      <w:r w:rsidRPr="00B91E1C">
        <w:rPr>
          <w:rFonts w:ascii="Bookman Old Style" w:hAnsi="Bookman Old Style"/>
          <w:sz w:val="22"/>
          <w:szCs w:val="22"/>
          <w:lang w:val="es-ES"/>
        </w:rPr>
        <w:t xml:space="preserve"> produce un efecto más benéfico sobre la justicia, </w:t>
      </w:r>
      <w:r w:rsidR="005E7B52" w:rsidRPr="00B91E1C">
        <w:rPr>
          <w:rFonts w:ascii="Bookman Old Style" w:hAnsi="Bookman Old Style"/>
          <w:sz w:val="22"/>
          <w:szCs w:val="22"/>
          <w:lang w:val="es-ES"/>
        </w:rPr>
        <w:t>y</w:t>
      </w:r>
      <w:r w:rsidRPr="00B91E1C">
        <w:rPr>
          <w:rFonts w:ascii="Bookman Old Style" w:hAnsi="Bookman Old Style"/>
          <w:sz w:val="22"/>
          <w:szCs w:val="22"/>
          <w:lang w:val="es-ES"/>
        </w:rPr>
        <w:t xml:space="preserve"> es </w:t>
      </w:r>
      <w:r w:rsidR="005E7B52" w:rsidRPr="00B91E1C">
        <w:rPr>
          <w:rFonts w:ascii="Bookman Old Style" w:hAnsi="Bookman Old Style"/>
          <w:sz w:val="22"/>
          <w:szCs w:val="22"/>
          <w:lang w:val="es-ES"/>
        </w:rPr>
        <w:t xml:space="preserve">la perspectiva </w:t>
      </w:r>
      <w:r w:rsidRPr="00B91E1C">
        <w:rPr>
          <w:rFonts w:ascii="Bookman Old Style" w:hAnsi="Bookman Old Style"/>
          <w:sz w:val="22"/>
          <w:szCs w:val="22"/>
          <w:lang w:val="es-ES"/>
        </w:rPr>
        <w:t xml:space="preserve">desde </w:t>
      </w:r>
      <w:r w:rsidR="005E7B52" w:rsidRPr="00B91E1C">
        <w:rPr>
          <w:rFonts w:ascii="Bookman Old Style" w:hAnsi="Bookman Old Style"/>
          <w:sz w:val="22"/>
          <w:szCs w:val="22"/>
          <w:lang w:val="es-ES"/>
        </w:rPr>
        <w:t xml:space="preserve">la cual </w:t>
      </w:r>
      <w:r w:rsidRPr="00B91E1C">
        <w:rPr>
          <w:rFonts w:ascii="Bookman Old Style" w:hAnsi="Bookman Old Style"/>
          <w:sz w:val="22"/>
          <w:szCs w:val="22"/>
          <w:lang w:val="es-ES"/>
        </w:rPr>
        <w:t>se deb</w:t>
      </w:r>
      <w:r w:rsidR="005E7B52" w:rsidRPr="00B91E1C">
        <w:rPr>
          <w:rFonts w:ascii="Bookman Old Style" w:hAnsi="Bookman Old Style"/>
          <w:sz w:val="22"/>
          <w:szCs w:val="22"/>
          <w:lang w:val="es-ES"/>
        </w:rPr>
        <w:t xml:space="preserve">ió </w:t>
      </w:r>
      <w:r w:rsidRPr="00B91E1C">
        <w:rPr>
          <w:rFonts w:ascii="Bookman Old Style" w:hAnsi="Bookman Old Style"/>
          <w:sz w:val="22"/>
          <w:szCs w:val="22"/>
          <w:lang w:val="es-ES"/>
        </w:rPr>
        <w:t>apreciar e</w:t>
      </w:r>
      <w:r w:rsidR="00BA331B" w:rsidRPr="00B91E1C">
        <w:rPr>
          <w:rFonts w:ascii="Bookman Old Style" w:hAnsi="Bookman Old Style"/>
          <w:sz w:val="22"/>
          <w:szCs w:val="22"/>
          <w:lang w:val="es-ES"/>
        </w:rPr>
        <w:t>l</w:t>
      </w:r>
      <w:r w:rsidR="005E7B52" w:rsidRPr="00B91E1C">
        <w:rPr>
          <w:rFonts w:ascii="Bookman Old Style" w:hAnsi="Bookman Old Style"/>
          <w:sz w:val="22"/>
          <w:szCs w:val="22"/>
          <w:lang w:val="es-ES"/>
        </w:rPr>
        <w:t xml:space="preserve"> </w:t>
      </w:r>
      <w:r w:rsidRPr="00B91E1C">
        <w:rPr>
          <w:rFonts w:ascii="Bookman Old Style" w:hAnsi="Bookman Old Style"/>
          <w:sz w:val="22"/>
          <w:szCs w:val="22"/>
          <w:lang w:val="es-ES"/>
        </w:rPr>
        <w:t xml:space="preserve">problema. No </w:t>
      </w:r>
      <w:r w:rsidR="005E7B52" w:rsidRPr="00B91E1C">
        <w:rPr>
          <w:rFonts w:ascii="Bookman Old Style" w:hAnsi="Bookman Old Style"/>
          <w:sz w:val="22"/>
          <w:szCs w:val="22"/>
          <w:lang w:val="es-ES"/>
        </w:rPr>
        <w:t xml:space="preserve">considerarlo </w:t>
      </w:r>
      <w:r w:rsidRPr="00B91E1C">
        <w:rPr>
          <w:rFonts w:ascii="Bookman Old Style" w:hAnsi="Bookman Old Style"/>
          <w:sz w:val="22"/>
          <w:szCs w:val="22"/>
          <w:lang w:val="es-ES"/>
        </w:rPr>
        <w:t xml:space="preserve">de este modo </w:t>
      </w:r>
      <w:r w:rsidR="00CA5D90">
        <w:rPr>
          <w:rFonts w:ascii="Bookman Old Style" w:hAnsi="Bookman Old Style"/>
          <w:sz w:val="22"/>
          <w:szCs w:val="22"/>
          <w:lang w:val="es-ES"/>
        </w:rPr>
        <w:t>estimula</w:t>
      </w:r>
      <w:r w:rsidRPr="00B91E1C">
        <w:rPr>
          <w:rFonts w:ascii="Bookman Old Style" w:hAnsi="Bookman Old Style"/>
          <w:sz w:val="22"/>
          <w:szCs w:val="22"/>
          <w:lang w:val="es-ES"/>
        </w:rPr>
        <w:t xml:space="preserve"> </w:t>
      </w:r>
      <w:r w:rsidR="00CA5D90">
        <w:rPr>
          <w:rFonts w:ascii="Bookman Old Style" w:hAnsi="Bookman Old Style"/>
          <w:sz w:val="22"/>
          <w:szCs w:val="22"/>
          <w:lang w:val="es-ES"/>
        </w:rPr>
        <w:t xml:space="preserve">la </w:t>
      </w:r>
      <w:r w:rsidRPr="00B91E1C">
        <w:rPr>
          <w:rFonts w:ascii="Bookman Old Style" w:hAnsi="Bookman Old Style"/>
          <w:sz w:val="22"/>
          <w:szCs w:val="22"/>
          <w:lang w:val="es-ES"/>
        </w:rPr>
        <w:t xml:space="preserve">insensibilidad y </w:t>
      </w:r>
      <w:r w:rsidR="00CA5D90">
        <w:rPr>
          <w:rFonts w:ascii="Bookman Old Style" w:hAnsi="Bookman Old Style"/>
          <w:sz w:val="22"/>
          <w:szCs w:val="22"/>
          <w:lang w:val="es-ES"/>
        </w:rPr>
        <w:t xml:space="preserve">la </w:t>
      </w:r>
      <w:r w:rsidRPr="00B91E1C">
        <w:rPr>
          <w:rFonts w:ascii="Bookman Old Style" w:hAnsi="Bookman Old Style"/>
          <w:sz w:val="22"/>
          <w:szCs w:val="22"/>
          <w:lang w:val="es-ES"/>
        </w:rPr>
        <w:t xml:space="preserve">falta de valoración de los aspectos principiales que </w:t>
      </w:r>
      <w:r w:rsidR="00C0722C" w:rsidRPr="00B91E1C">
        <w:rPr>
          <w:rFonts w:ascii="Bookman Old Style" w:hAnsi="Bookman Old Style"/>
          <w:sz w:val="22"/>
          <w:szCs w:val="22"/>
          <w:lang w:val="es-ES"/>
        </w:rPr>
        <w:t>hay</w:t>
      </w:r>
      <w:r w:rsidR="005E7B52" w:rsidRPr="00B91E1C">
        <w:rPr>
          <w:rFonts w:ascii="Bookman Old Style" w:hAnsi="Bookman Old Style"/>
          <w:sz w:val="22"/>
          <w:szCs w:val="22"/>
          <w:lang w:val="es-ES"/>
        </w:rPr>
        <w:t xml:space="preserve"> </w:t>
      </w:r>
      <w:r w:rsidRPr="00B91E1C">
        <w:rPr>
          <w:rFonts w:ascii="Bookman Old Style" w:hAnsi="Bookman Old Style"/>
          <w:sz w:val="22"/>
          <w:szCs w:val="22"/>
          <w:lang w:val="es-ES"/>
        </w:rPr>
        <w:t xml:space="preserve">en cada caso </w:t>
      </w:r>
      <w:r w:rsidR="00BA331B" w:rsidRPr="00B91E1C">
        <w:rPr>
          <w:rFonts w:ascii="Bookman Old Style" w:hAnsi="Bookman Old Style"/>
          <w:sz w:val="22"/>
          <w:szCs w:val="22"/>
          <w:lang w:val="es-ES"/>
        </w:rPr>
        <w:t xml:space="preserve">–uno por uno– </w:t>
      </w:r>
      <w:r w:rsidRPr="00B91E1C">
        <w:rPr>
          <w:rFonts w:ascii="Bookman Old Style" w:hAnsi="Bookman Old Style"/>
          <w:sz w:val="22"/>
          <w:szCs w:val="22"/>
          <w:lang w:val="es-ES"/>
        </w:rPr>
        <w:t>de enriquecimiento sin causa de tipo contractual.</w:t>
      </w:r>
    </w:p>
    <w:p w:rsidR="00403B03" w:rsidRPr="00B91E1C" w:rsidRDefault="00BA331B" w:rsidP="00F634F5">
      <w:pPr>
        <w:spacing w:line="276" w:lineRule="auto"/>
        <w:ind w:firstLine="708"/>
        <w:jc w:val="both"/>
        <w:rPr>
          <w:rFonts w:ascii="Bookman Old Style" w:hAnsi="Bookman Old Style"/>
          <w:sz w:val="22"/>
          <w:szCs w:val="22"/>
          <w:lang w:val="es-ES"/>
        </w:rPr>
      </w:pPr>
      <w:r w:rsidRPr="00B91E1C">
        <w:rPr>
          <w:rFonts w:ascii="Bookman Old Style" w:hAnsi="Bookman Old Style"/>
          <w:sz w:val="22"/>
          <w:szCs w:val="22"/>
          <w:lang w:val="es-ES"/>
        </w:rPr>
        <w:t>P</w:t>
      </w:r>
      <w:r w:rsidR="00403B03" w:rsidRPr="00B91E1C">
        <w:rPr>
          <w:rFonts w:ascii="Bookman Old Style" w:hAnsi="Bookman Old Style"/>
          <w:sz w:val="22"/>
          <w:szCs w:val="22"/>
          <w:lang w:val="es-ES"/>
        </w:rPr>
        <w:t xml:space="preserve">or </w:t>
      </w:r>
      <w:r w:rsidRPr="00B91E1C">
        <w:rPr>
          <w:rFonts w:ascii="Bookman Old Style" w:hAnsi="Bookman Old Style"/>
          <w:sz w:val="22"/>
          <w:szCs w:val="22"/>
          <w:lang w:val="es-ES"/>
        </w:rPr>
        <w:t>eso h</w:t>
      </w:r>
      <w:r w:rsidR="00403B03" w:rsidRPr="00B91E1C">
        <w:rPr>
          <w:rFonts w:ascii="Bookman Old Style" w:hAnsi="Bookman Old Style"/>
          <w:sz w:val="22"/>
          <w:szCs w:val="22"/>
          <w:lang w:val="es-ES"/>
        </w:rPr>
        <w:t xml:space="preserve">oy se </w:t>
      </w:r>
      <w:r w:rsidR="003259C0">
        <w:rPr>
          <w:rFonts w:ascii="Bookman Old Style" w:hAnsi="Bookman Old Style"/>
          <w:sz w:val="22"/>
          <w:szCs w:val="22"/>
          <w:lang w:val="es-ES"/>
        </w:rPr>
        <w:t xml:space="preserve">tienen que adoptar </w:t>
      </w:r>
      <w:r w:rsidR="00403B03" w:rsidRPr="00B91E1C">
        <w:rPr>
          <w:rFonts w:ascii="Bookman Old Style" w:hAnsi="Bookman Old Style"/>
          <w:sz w:val="22"/>
          <w:szCs w:val="22"/>
          <w:lang w:val="es-ES"/>
        </w:rPr>
        <w:t>decisiones injustificables, como la siguiente: ¿si el ICBF no adiciona o no renueva oportunamente un contrato que tiene por objeto el cuidado de niños o menores</w:t>
      </w:r>
      <w:r w:rsidR="00C34703">
        <w:rPr>
          <w:rFonts w:ascii="Bookman Old Style" w:hAnsi="Bookman Old Style"/>
          <w:sz w:val="22"/>
          <w:szCs w:val="22"/>
          <w:lang w:val="es-ES"/>
        </w:rPr>
        <w:t xml:space="preserve"> en hogares de cuidado</w:t>
      </w:r>
      <w:r w:rsidR="00403B03" w:rsidRPr="00B91E1C">
        <w:rPr>
          <w:rFonts w:ascii="Bookman Old Style" w:hAnsi="Bookman Old Style"/>
          <w:sz w:val="22"/>
          <w:szCs w:val="22"/>
          <w:lang w:val="es-ES"/>
        </w:rPr>
        <w:t xml:space="preserve">, el contratista los debe </w:t>
      </w:r>
      <w:r w:rsidR="00C34703">
        <w:rPr>
          <w:rFonts w:ascii="Bookman Old Style" w:hAnsi="Bookman Old Style"/>
          <w:sz w:val="22"/>
          <w:szCs w:val="22"/>
          <w:lang w:val="es-ES"/>
        </w:rPr>
        <w:t>lanzar</w:t>
      </w:r>
      <w:r w:rsidR="00403B03" w:rsidRPr="00B91E1C">
        <w:rPr>
          <w:rFonts w:ascii="Bookman Old Style" w:hAnsi="Bookman Old Style"/>
          <w:sz w:val="22"/>
          <w:szCs w:val="22"/>
          <w:lang w:val="es-ES"/>
        </w:rPr>
        <w:t xml:space="preserve">? </w:t>
      </w:r>
      <w:r w:rsidR="00C34703">
        <w:rPr>
          <w:rFonts w:ascii="Bookman Old Style" w:hAnsi="Bookman Old Style"/>
          <w:sz w:val="22"/>
          <w:szCs w:val="22"/>
          <w:lang w:val="es-ES"/>
        </w:rPr>
        <w:t>¿</w:t>
      </w:r>
      <w:r w:rsidR="00403B03" w:rsidRPr="00B91E1C">
        <w:rPr>
          <w:rFonts w:ascii="Bookman Old Style" w:hAnsi="Bookman Old Style"/>
          <w:sz w:val="22"/>
          <w:szCs w:val="22"/>
          <w:lang w:val="es-ES"/>
        </w:rPr>
        <w:t xml:space="preserve">Si </w:t>
      </w:r>
      <w:r w:rsidR="00C34703">
        <w:rPr>
          <w:rFonts w:ascii="Bookman Old Style" w:hAnsi="Bookman Old Style"/>
          <w:sz w:val="22"/>
          <w:szCs w:val="22"/>
          <w:lang w:val="es-ES"/>
        </w:rPr>
        <w:t>no lo hace</w:t>
      </w:r>
      <w:r w:rsidR="00403B03" w:rsidRPr="00B91E1C">
        <w:rPr>
          <w:rFonts w:ascii="Bookman Old Style" w:hAnsi="Bookman Old Style"/>
          <w:sz w:val="22"/>
          <w:szCs w:val="22"/>
          <w:lang w:val="es-ES"/>
        </w:rPr>
        <w:t xml:space="preserve"> –</w:t>
      </w:r>
      <w:r w:rsidR="00C34703">
        <w:rPr>
          <w:rFonts w:ascii="Bookman Old Style" w:hAnsi="Bookman Old Style"/>
          <w:sz w:val="22"/>
          <w:szCs w:val="22"/>
          <w:lang w:val="es-ES"/>
        </w:rPr>
        <w:t>ente otras cosas, sería un crimen hacerlo</w:t>
      </w:r>
      <w:r w:rsidR="00403B03" w:rsidRPr="00B91E1C">
        <w:rPr>
          <w:rFonts w:ascii="Bookman Old Style" w:hAnsi="Bookman Old Style"/>
          <w:sz w:val="22"/>
          <w:szCs w:val="22"/>
          <w:lang w:val="es-ES"/>
        </w:rPr>
        <w:t xml:space="preserve">– quién </w:t>
      </w:r>
      <w:r w:rsidR="00C34703">
        <w:rPr>
          <w:rFonts w:ascii="Bookman Old Style" w:hAnsi="Bookman Old Style"/>
          <w:sz w:val="22"/>
          <w:szCs w:val="22"/>
          <w:lang w:val="es-ES"/>
        </w:rPr>
        <w:t xml:space="preserve">le </w:t>
      </w:r>
      <w:r w:rsidR="00403B03" w:rsidRPr="00B91E1C">
        <w:rPr>
          <w:rFonts w:ascii="Bookman Old Style" w:hAnsi="Bookman Old Style"/>
          <w:sz w:val="22"/>
          <w:szCs w:val="22"/>
          <w:lang w:val="es-ES"/>
        </w:rPr>
        <w:t>paga</w:t>
      </w:r>
      <w:r w:rsidR="00C34703">
        <w:rPr>
          <w:rFonts w:ascii="Bookman Old Style" w:hAnsi="Bookman Old Style"/>
          <w:sz w:val="22"/>
          <w:szCs w:val="22"/>
          <w:lang w:val="es-ES"/>
        </w:rPr>
        <w:t xml:space="preserve"> los gastos en que incurre</w:t>
      </w:r>
      <w:r w:rsidR="002A0A3D">
        <w:rPr>
          <w:rFonts w:ascii="Bookman Old Style" w:hAnsi="Bookman Old Style"/>
          <w:sz w:val="22"/>
          <w:szCs w:val="22"/>
          <w:lang w:val="es-ES"/>
        </w:rPr>
        <w:t xml:space="preserve"> por tenerlos en sus</w:t>
      </w:r>
      <w:r w:rsidR="00A1222D">
        <w:rPr>
          <w:rFonts w:ascii="Bookman Old Style" w:hAnsi="Bookman Old Style"/>
          <w:sz w:val="22"/>
          <w:szCs w:val="22"/>
          <w:lang w:val="es-ES"/>
        </w:rPr>
        <w:t xml:space="preserve"> </w:t>
      </w:r>
      <w:r w:rsidR="002A0A3D">
        <w:rPr>
          <w:rFonts w:ascii="Bookman Old Style" w:hAnsi="Bookman Old Style"/>
          <w:sz w:val="22"/>
          <w:szCs w:val="22"/>
          <w:lang w:val="es-ES"/>
        </w:rPr>
        <w:t>instalaciones</w:t>
      </w:r>
      <w:r w:rsidR="00403B03" w:rsidRPr="00B91E1C">
        <w:rPr>
          <w:rFonts w:ascii="Bookman Old Style" w:hAnsi="Bookman Old Style"/>
          <w:sz w:val="22"/>
          <w:szCs w:val="22"/>
          <w:lang w:val="es-ES"/>
        </w:rPr>
        <w:t>?</w:t>
      </w:r>
      <w:r w:rsidR="00260782" w:rsidRPr="00B91E1C">
        <w:rPr>
          <w:rFonts w:ascii="Bookman Old Style" w:hAnsi="Bookman Old Style"/>
          <w:sz w:val="22"/>
          <w:szCs w:val="22"/>
          <w:lang w:val="es-ES"/>
        </w:rPr>
        <w:t xml:space="preserve"> </w:t>
      </w:r>
      <w:r w:rsidR="00C314F6" w:rsidRPr="00B91E1C">
        <w:rPr>
          <w:rFonts w:ascii="Bookman Old Style" w:hAnsi="Bookman Old Style"/>
          <w:sz w:val="22"/>
          <w:szCs w:val="22"/>
          <w:lang w:val="es-ES"/>
        </w:rPr>
        <w:t>La sentencia dirá que como no se configura ninguno de los supuestos excepcionales que autorizan reconocer el enriquecimiento sin causa, se debe negar el pago, porque se violó una norma imperativa.</w:t>
      </w:r>
    </w:p>
    <w:p w:rsidR="00C314F6" w:rsidRDefault="00BC12D3" w:rsidP="00F634F5">
      <w:pPr>
        <w:spacing w:line="276" w:lineRule="auto"/>
        <w:ind w:firstLine="708"/>
        <w:jc w:val="both"/>
        <w:rPr>
          <w:rFonts w:ascii="Bookman Old Style" w:hAnsi="Bookman Old Style"/>
          <w:sz w:val="22"/>
          <w:szCs w:val="22"/>
          <w:lang w:val="es-ES"/>
        </w:rPr>
      </w:pPr>
      <w:r>
        <w:rPr>
          <w:rFonts w:ascii="Bookman Old Style" w:hAnsi="Bookman Old Style"/>
          <w:sz w:val="22"/>
          <w:szCs w:val="22"/>
          <w:lang w:val="es-ES"/>
        </w:rPr>
        <w:t>Luce interesante e</w:t>
      </w:r>
      <w:r w:rsidR="00C314F6" w:rsidRPr="00B91E1C">
        <w:rPr>
          <w:rFonts w:ascii="Bookman Old Style" w:hAnsi="Bookman Old Style"/>
          <w:sz w:val="22"/>
          <w:szCs w:val="22"/>
          <w:lang w:val="es-ES"/>
        </w:rPr>
        <w:t>l criterio de</w:t>
      </w:r>
      <w:r w:rsidR="00C34703">
        <w:rPr>
          <w:rFonts w:ascii="Bookman Old Style" w:hAnsi="Bookman Old Style"/>
          <w:sz w:val="22"/>
          <w:szCs w:val="22"/>
          <w:lang w:val="es-ES"/>
        </w:rPr>
        <w:t xml:space="preserve"> </w:t>
      </w:r>
      <w:r w:rsidR="00C314F6" w:rsidRPr="00B91E1C">
        <w:rPr>
          <w:rFonts w:ascii="Bookman Old Style" w:hAnsi="Bookman Old Style"/>
          <w:sz w:val="22"/>
          <w:szCs w:val="22"/>
          <w:lang w:val="es-ES"/>
        </w:rPr>
        <w:t xml:space="preserve">la </w:t>
      </w:r>
      <w:r w:rsidR="00C34703">
        <w:rPr>
          <w:rFonts w:ascii="Bookman Old Style" w:hAnsi="Bookman Old Style"/>
          <w:sz w:val="22"/>
          <w:szCs w:val="22"/>
          <w:lang w:val="es-ES"/>
        </w:rPr>
        <w:t xml:space="preserve">observancia estricta de la </w:t>
      </w:r>
      <w:r w:rsidR="00C314F6" w:rsidRPr="00B91E1C">
        <w:rPr>
          <w:rFonts w:ascii="Bookman Old Style" w:hAnsi="Bookman Old Style"/>
          <w:i/>
          <w:sz w:val="22"/>
          <w:szCs w:val="22"/>
          <w:lang w:val="es-ES"/>
        </w:rPr>
        <w:t>norma imperativa</w:t>
      </w:r>
      <w:r w:rsidR="00C314F6" w:rsidRPr="00B91E1C">
        <w:rPr>
          <w:rFonts w:ascii="Bookman Old Style" w:hAnsi="Bookman Old Style"/>
          <w:sz w:val="22"/>
          <w:szCs w:val="22"/>
          <w:lang w:val="es-ES"/>
        </w:rPr>
        <w:t xml:space="preserve"> </w:t>
      </w:r>
      <w:r w:rsidR="00C34703">
        <w:rPr>
          <w:rFonts w:ascii="Bookman Old Style" w:hAnsi="Bookman Old Style"/>
          <w:sz w:val="22"/>
          <w:szCs w:val="22"/>
          <w:lang w:val="es-ES"/>
        </w:rPr>
        <w:t>como eje del análisis,</w:t>
      </w:r>
      <w:r>
        <w:rPr>
          <w:rFonts w:ascii="Bookman Old Style" w:hAnsi="Bookman Old Style"/>
          <w:sz w:val="22"/>
          <w:szCs w:val="22"/>
          <w:lang w:val="es-ES"/>
        </w:rPr>
        <w:t xml:space="preserve"> es decir,</w:t>
      </w:r>
      <w:r w:rsidR="00C314F6" w:rsidRPr="00B91E1C">
        <w:rPr>
          <w:rFonts w:ascii="Bookman Old Style" w:hAnsi="Bookman Old Style"/>
          <w:sz w:val="22"/>
          <w:szCs w:val="22"/>
          <w:lang w:val="es-ES"/>
        </w:rPr>
        <w:t xml:space="preserve"> la exigencia de no violar la norma que </w:t>
      </w:r>
      <w:r>
        <w:rPr>
          <w:rFonts w:ascii="Bookman Old Style" w:hAnsi="Bookman Old Style"/>
          <w:sz w:val="22"/>
          <w:szCs w:val="22"/>
          <w:lang w:val="es-ES"/>
        </w:rPr>
        <w:t>obliga a</w:t>
      </w:r>
      <w:r w:rsidR="00C314F6" w:rsidRPr="00B91E1C">
        <w:rPr>
          <w:rFonts w:ascii="Bookman Old Style" w:hAnsi="Bookman Old Style"/>
          <w:sz w:val="22"/>
          <w:szCs w:val="22"/>
          <w:lang w:val="es-ES"/>
        </w:rPr>
        <w:t xml:space="preserve"> suscribir el contrato antes de ejecutarlo</w:t>
      </w:r>
      <w:r w:rsidR="002A0A3D">
        <w:rPr>
          <w:rFonts w:ascii="Bookman Old Style" w:hAnsi="Bookman Old Style"/>
          <w:sz w:val="22"/>
          <w:szCs w:val="22"/>
          <w:lang w:val="es-ES"/>
        </w:rPr>
        <w:t xml:space="preserve"> </w:t>
      </w:r>
      <w:r w:rsidR="00C34703">
        <w:rPr>
          <w:rFonts w:ascii="Bookman Old Style" w:hAnsi="Bookman Old Style"/>
          <w:sz w:val="22"/>
          <w:szCs w:val="22"/>
          <w:lang w:val="es-ES"/>
        </w:rPr>
        <w:t xml:space="preserve">–art. 41 de la </w:t>
      </w:r>
      <w:r w:rsidR="00622A90">
        <w:rPr>
          <w:rFonts w:ascii="Bookman Old Style" w:hAnsi="Bookman Old Style"/>
          <w:sz w:val="22"/>
          <w:szCs w:val="22"/>
          <w:lang w:val="es-ES"/>
        </w:rPr>
        <w:t>L</w:t>
      </w:r>
      <w:r w:rsidR="00C34703">
        <w:rPr>
          <w:rFonts w:ascii="Bookman Old Style" w:hAnsi="Bookman Old Style"/>
          <w:sz w:val="22"/>
          <w:szCs w:val="22"/>
          <w:lang w:val="es-ES"/>
        </w:rPr>
        <w:t>ey 80–</w:t>
      </w:r>
      <w:r>
        <w:rPr>
          <w:rFonts w:ascii="Bookman Old Style" w:hAnsi="Bookman Old Style"/>
          <w:sz w:val="22"/>
          <w:szCs w:val="22"/>
          <w:lang w:val="es-ES"/>
        </w:rPr>
        <w:t xml:space="preserve">, no obstante, </w:t>
      </w:r>
      <w:r w:rsidR="00486F90" w:rsidRPr="00B91E1C">
        <w:rPr>
          <w:rFonts w:ascii="Bookman Old Style" w:hAnsi="Bookman Old Style"/>
          <w:sz w:val="22"/>
          <w:szCs w:val="22"/>
          <w:lang w:val="es-ES"/>
        </w:rPr>
        <w:t xml:space="preserve">en realidad </w:t>
      </w:r>
      <w:r w:rsidR="00C314F6" w:rsidRPr="00B91E1C">
        <w:rPr>
          <w:rFonts w:ascii="Bookman Old Style" w:hAnsi="Bookman Old Style"/>
          <w:sz w:val="22"/>
          <w:szCs w:val="22"/>
          <w:lang w:val="es-ES"/>
        </w:rPr>
        <w:t xml:space="preserve">no es </w:t>
      </w:r>
      <w:r w:rsidR="00E42294" w:rsidRPr="00B91E1C">
        <w:rPr>
          <w:rFonts w:ascii="Bookman Old Style" w:hAnsi="Bookman Old Style"/>
          <w:sz w:val="22"/>
          <w:szCs w:val="22"/>
          <w:lang w:val="es-ES"/>
        </w:rPr>
        <w:t xml:space="preserve">el </w:t>
      </w:r>
      <w:r w:rsidR="00C314F6" w:rsidRPr="00B91E1C">
        <w:rPr>
          <w:rFonts w:ascii="Bookman Old Style" w:hAnsi="Bookman Old Style"/>
          <w:sz w:val="22"/>
          <w:szCs w:val="22"/>
          <w:lang w:val="es-ES"/>
        </w:rPr>
        <w:t xml:space="preserve">criterio </w:t>
      </w:r>
      <w:r w:rsidR="00E42294" w:rsidRPr="00B91E1C">
        <w:rPr>
          <w:rFonts w:ascii="Bookman Old Style" w:hAnsi="Bookman Old Style"/>
          <w:sz w:val="22"/>
          <w:szCs w:val="22"/>
          <w:lang w:val="es-ES"/>
        </w:rPr>
        <w:t>adecuado</w:t>
      </w:r>
      <w:r w:rsidR="00486F90" w:rsidRPr="00B91E1C">
        <w:rPr>
          <w:rFonts w:ascii="Bookman Old Style" w:hAnsi="Bookman Old Style"/>
          <w:sz w:val="22"/>
          <w:szCs w:val="22"/>
          <w:lang w:val="es-ES"/>
        </w:rPr>
        <w:t xml:space="preserve"> </w:t>
      </w:r>
      <w:r w:rsidR="00C314F6" w:rsidRPr="00B91E1C">
        <w:rPr>
          <w:rFonts w:ascii="Bookman Old Style" w:hAnsi="Bookman Old Style"/>
          <w:sz w:val="22"/>
          <w:szCs w:val="22"/>
          <w:lang w:val="es-ES"/>
        </w:rPr>
        <w:t xml:space="preserve">para definir lo correcto o lo justo </w:t>
      </w:r>
      <w:r w:rsidR="00C34703">
        <w:rPr>
          <w:rFonts w:ascii="Bookman Old Style" w:hAnsi="Bookman Old Style"/>
          <w:sz w:val="22"/>
          <w:szCs w:val="22"/>
          <w:lang w:val="es-ES"/>
        </w:rPr>
        <w:t>en</w:t>
      </w:r>
      <w:r w:rsidR="00486F90" w:rsidRPr="00B91E1C">
        <w:rPr>
          <w:rFonts w:ascii="Bookman Old Style" w:hAnsi="Bookman Old Style"/>
          <w:sz w:val="22"/>
          <w:szCs w:val="22"/>
          <w:lang w:val="es-ES"/>
        </w:rPr>
        <w:t xml:space="preserve"> conflictos </w:t>
      </w:r>
      <w:r w:rsidR="00E42294" w:rsidRPr="00B91E1C">
        <w:rPr>
          <w:rFonts w:ascii="Bookman Old Style" w:hAnsi="Bookman Old Style"/>
          <w:sz w:val="22"/>
          <w:szCs w:val="22"/>
          <w:lang w:val="es-ES"/>
        </w:rPr>
        <w:t xml:space="preserve">asociados a problemas </w:t>
      </w:r>
      <w:r w:rsidR="00C314F6" w:rsidRPr="00B91E1C">
        <w:rPr>
          <w:rFonts w:ascii="Bookman Old Style" w:hAnsi="Bookman Old Style"/>
          <w:sz w:val="22"/>
          <w:szCs w:val="22"/>
          <w:lang w:val="es-ES"/>
        </w:rPr>
        <w:t>en esta clase.</w:t>
      </w:r>
    </w:p>
    <w:p w:rsidR="001F7ED3" w:rsidRDefault="001F7ED3" w:rsidP="00F634F5">
      <w:pPr>
        <w:spacing w:line="276" w:lineRule="auto"/>
        <w:ind w:firstLine="708"/>
        <w:jc w:val="both"/>
        <w:rPr>
          <w:rFonts w:ascii="Bookman Old Style" w:hAnsi="Bookman Old Style"/>
          <w:sz w:val="22"/>
          <w:szCs w:val="22"/>
          <w:lang w:val="es-ES"/>
        </w:rPr>
      </w:pPr>
      <w:r>
        <w:rPr>
          <w:rFonts w:ascii="Bookman Old Style" w:hAnsi="Bookman Old Style"/>
          <w:sz w:val="22"/>
          <w:szCs w:val="22"/>
          <w:lang w:val="es-ES"/>
        </w:rPr>
        <w:t>Mi perspectiva, definitivamente, añora las providencias que rigieron en el pasado</w:t>
      </w:r>
      <w:r w:rsidR="00E9048D">
        <w:rPr>
          <w:rFonts w:ascii="Bookman Old Style" w:hAnsi="Bookman Old Style"/>
          <w:sz w:val="22"/>
          <w:szCs w:val="22"/>
          <w:lang w:val="es-ES"/>
        </w:rPr>
        <w:t xml:space="preserve">: </w:t>
      </w:r>
      <w:r>
        <w:rPr>
          <w:rFonts w:ascii="Bookman Old Style" w:hAnsi="Bookman Old Style"/>
          <w:sz w:val="22"/>
          <w:szCs w:val="22"/>
          <w:lang w:val="es-ES"/>
        </w:rPr>
        <w:t xml:space="preserve">desde que empezó a demandarse el reconocimiento de las prestaciones ejecutadas sin contrato, pero de buena fe por parte del empobrecido. Se trata </w:t>
      </w:r>
      <w:r w:rsidR="004702AE">
        <w:rPr>
          <w:rFonts w:ascii="Bookman Old Style" w:hAnsi="Bookman Old Style"/>
          <w:sz w:val="22"/>
          <w:szCs w:val="22"/>
          <w:lang w:val="es-ES"/>
        </w:rPr>
        <w:t>de tod</w:t>
      </w:r>
      <w:r w:rsidR="00E9048D">
        <w:rPr>
          <w:rFonts w:ascii="Bookman Old Style" w:hAnsi="Bookman Old Style"/>
          <w:sz w:val="22"/>
          <w:szCs w:val="22"/>
          <w:lang w:val="es-ES"/>
        </w:rPr>
        <w:t xml:space="preserve">os los años –varias décadas– que antecedieron </w:t>
      </w:r>
      <w:r w:rsidR="004702AE">
        <w:rPr>
          <w:rFonts w:ascii="Bookman Old Style" w:hAnsi="Bookman Old Style"/>
          <w:sz w:val="22"/>
          <w:szCs w:val="22"/>
          <w:lang w:val="es-ES"/>
        </w:rPr>
        <w:t>al</w:t>
      </w:r>
      <w:r w:rsidR="00E9048D">
        <w:rPr>
          <w:rFonts w:ascii="Bookman Old Style" w:hAnsi="Bookman Old Style"/>
          <w:sz w:val="22"/>
          <w:szCs w:val="22"/>
          <w:lang w:val="es-ES"/>
        </w:rPr>
        <w:t xml:space="preserve"> </w:t>
      </w:r>
      <w:r w:rsidR="004702AE">
        <w:rPr>
          <w:rFonts w:ascii="Bookman Old Style" w:hAnsi="Bookman Old Style"/>
          <w:sz w:val="22"/>
          <w:szCs w:val="22"/>
          <w:lang w:val="es-ES"/>
        </w:rPr>
        <w:t>2006</w:t>
      </w:r>
      <w:r w:rsidR="00E9048D">
        <w:rPr>
          <w:rFonts w:ascii="Bookman Old Style" w:hAnsi="Bookman Old Style"/>
          <w:sz w:val="22"/>
          <w:szCs w:val="22"/>
          <w:lang w:val="es-ES"/>
        </w:rPr>
        <w:t xml:space="preserve">, y luego del período 2009 </w:t>
      </w:r>
      <w:r w:rsidR="00E9048D">
        <w:rPr>
          <w:rFonts w:ascii="Bookman Old Style" w:hAnsi="Bookman Old Style"/>
          <w:sz w:val="22"/>
          <w:szCs w:val="22"/>
          <w:lang w:val="es-ES"/>
        </w:rPr>
        <w:lastRenderedPageBreak/>
        <w:t>al 2012. Por oposición los lapsos 2006–2009 y 2012 en adelante me parecen regresivos.</w:t>
      </w:r>
    </w:p>
    <w:p w:rsidR="00CC2C8F" w:rsidRPr="00B91E1C" w:rsidRDefault="00BC12D3" w:rsidP="00F634F5">
      <w:pPr>
        <w:spacing w:line="276" w:lineRule="auto"/>
        <w:ind w:firstLine="708"/>
        <w:jc w:val="both"/>
        <w:rPr>
          <w:rFonts w:ascii="Bookman Old Style" w:hAnsi="Bookman Old Style"/>
          <w:sz w:val="22"/>
          <w:szCs w:val="22"/>
          <w:lang w:val="es-ES"/>
        </w:rPr>
      </w:pPr>
      <w:r>
        <w:rPr>
          <w:rFonts w:ascii="Bookman Old Style" w:hAnsi="Bookman Old Style"/>
          <w:sz w:val="22"/>
          <w:szCs w:val="22"/>
          <w:lang w:val="es-ES"/>
        </w:rPr>
        <w:t xml:space="preserve">Finalmente, </w:t>
      </w:r>
      <w:r w:rsidR="002D46E3">
        <w:rPr>
          <w:rFonts w:ascii="Bookman Old Style" w:hAnsi="Bookman Old Style"/>
          <w:sz w:val="22"/>
          <w:szCs w:val="22"/>
          <w:lang w:val="es-ES"/>
        </w:rPr>
        <w:t>la sentencia</w:t>
      </w:r>
      <w:r>
        <w:rPr>
          <w:rFonts w:ascii="Bookman Old Style" w:hAnsi="Bookman Old Style"/>
          <w:sz w:val="22"/>
          <w:szCs w:val="22"/>
          <w:lang w:val="es-ES"/>
        </w:rPr>
        <w:t xml:space="preserve"> incurre en otro defecto</w:t>
      </w:r>
      <w:r w:rsidR="00922FB4">
        <w:rPr>
          <w:rFonts w:ascii="Bookman Old Style" w:hAnsi="Bookman Old Style"/>
          <w:sz w:val="22"/>
          <w:szCs w:val="22"/>
          <w:lang w:val="es-ES"/>
        </w:rPr>
        <w:t xml:space="preserve">, por </w:t>
      </w:r>
      <w:r w:rsidR="002D46E3">
        <w:rPr>
          <w:rFonts w:ascii="Bookman Old Style" w:hAnsi="Bookman Old Style"/>
          <w:sz w:val="22"/>
          <w:szCs w:val="22"/>
          <w:lang w:val="es-ES"/>
        </w:rPr>
        <w:t>concede</w:t>
      </w:r>
      <w:r w:rsidR="00922FB4">
        <w:rPr>
          <w:rFonts w:ascii="Bookman Old Style" w:hAnsi="Bookman Old Style"/>
          <w:sz w:val="22"/>
          <w:szCs w:val="22"/>
          <w:lang w:val="es-ES"/>
        </w:rPr>
        <w:t>rle</w:t>
      </w:r>
      <w:r w:rsidR="002D46E3">
        <w:rPr>
          <w:rFonts w:ascii="Bookman Old Style" w:hAnsi="Bookman Old Style"/>
          <w:sz w:val="22"/>
          <w:szCs w:val="22"/>
          <w:lang w:val="es-ES"/>
        </w:rPr>
        <w:t xml:space="preserve"> semejante importancia y consecuencia a la violación de una norma imperativa</w:t>
      </w:r>
      <w:r>
        <w:rPr>
          <w:rFonts w:ascii="Bookman Old Style" w:hAnsi="Bookman Old Style"/>
          <w:sz w:val="22"/>
          <w:szCs w:val="22"/>
          <w:lang w:val="es-ES"/>
        </w:rPr>
        <w:t xml:space="preserve">. Resulta </w:t>
      </w:r>
      <w:r w:rsidR="002D46E3">
        <w:rPr>
          <w:rFonts w:ascii="Bookman Old Style" w:hAnsi="Bookman Old Style"/>
          <w:sz w:val="22"/>
          <w:szCs w:val="22"/>
          <w:lang w:val="es-ES"/>
        </w:rPr>
        <w:t xml:space="preserve">que en la Ley 80 existen </w:t>
      </w:r>
      <w:r>
        <w:rPr>
          <w:rFonts w:ascii="Bookman Old Style" w:hAnsi="Bookman Old Style"/>
          <w:sz w:val="22"/>
          <w:szCs w:val="22"/>
          <w:lang w:val="es-ES"/>
        </w:rPr>
        <w:t xml:space="preserve">más </w:t>
      </w:r>
      <w:r w:rsidR="002D46E3">
        <w:rPr>
          <w:rFonts w:ascii="Bookman Old Style" w:hAnsi="Bookman Old Style"/>
          <w:sz w:val="22"/>
          <w:szCs w:val="22"/>
          <w:lang w:val="es-ES"/>
        </w:rPr>
        <w:t>disposiciones de la misma naturaleza</w:t>
      </w:r>
      <w:r>
        <w:rPr>
          <w:rFonts w:ascii="Bookman Old Style" w:hAnsi="Bookman Old Style"/>
          <w:sz w:val="22"/>
          <w:szCs w:val="22"/>
          <w:lang w:val="es-ES"/>
        </w:rPr>
        <w:t xml:space="preserve">, </w:t>
      </w:r>
      <w:r w:rsidR="00411C19">
        <w:rPr>
          <w:rFonts w:ascii="Bookman Old Style" w:hAnsi="Bookman Old Style"/>
          <w:sz w:val="22"/>
          <w:szCs w:val="22"/>
          <w:lang w:val="es-ES"/>
        </w:rPr>
        <w:t xml:space="preserve">es decir, </w:t>
      </w:r>
      <w:r>
        <w:rPr>
          <w:rFonts w:ascii="Bookman Old Style" w:hAnsi="Bookman Old Style"/>
          <w:sz w:val="22"/>
          <w:szCs w:val="22"/>
          <w:lang w:val="es-ES"/>
        </w:rPr>
        <w:t>imperativas</w:t>
      </w:r>
      <w:r w:rsidR="002D46E3">
        <w:rPr>
          <w:rFonts w:ascii="Bookman Old Style" w:hAnsi="Bookman Old Style"/>
          <w:sz w:val="22"/>
          <w:szCs w:val="22"/>
          <w:lang w:val="es-ES"/>
        </w:rPr>
        <w:t xml:space="preserve"> –por ejemplo, adelantar el procedimiento de selección que dispone, contar con disponibilidad y con registro presupuestal–, así </w:t>
      </w:r>
      <w:proofErr w:type="gramStart"/>
      <w:r w:rsidR="002D46E3">
        <w:rPr>
          <w:rFonts w:ascii="Bookman Old Style" w:hAnsi="Bookman Old Style"/>
          <w:sz w:val="22"/>
          <w:szCs w:val="22"/>
          <w:lang w:val="es-ES"/>
        </w:rPr>
        <w:t>que</w:t>
      </w:r>
      <w:proofErr w:type="gramEnd"/>
      <w:r w:rsidR="002D46E3">
        <w:rPr>
          <w:rFonts w:ascii="Bookman Old Style" w:hAnsi="Bookman Old Style"/>
          <w:sz w:val="22"/>
          <w:szCs w:val="22"/>
          <w:lang w:val="es-ES"/>
        </w:rPr>
        <w:t xml:space="preserve"> siendo consecuentes con la idea, de omitirse tendría</w:t>
      </w:r>
      <w:r w:rsidR="00775931">
        <w:rPr>
          <w:rFonts w:ascii="Bookman Old Style" w:hAnsi="Bookman Old Style"/>
          <w:sz w:val="22"/>
          <w:szCs w:val="22"/>
          <w:lang w:val="es-ES"/>
        </w:rPr>
        <w:t>n</w:t>
      </w:r>
      <w:r w:rsidR="002D46E3">
        <w:rPr>
          <w:rFonts w:ascii="Bookman Old Style" w:hAnsi="Bookman Old Style"/>
          <w:sz w:val="22"/>
          <w:szCs w:val="22"/>
          <w:lang w:val="es-ES"/>
        </w:rPr>
        <w:t xml:space="preserve"> que generar el mismo efecto: estar ante un hecho cumplido, por tanto ante un supuesto de enriquecimiento sin causa. </w:t>
      </w:r>
      <w:r w:rsidR="00411C19">
        <w:rPr>
          <w:rFonts w:ascii="Bookman Old Style" w:hAnsi="Bookman Old Style"/>
          <w:sz w:val="22"/>
          <w:szCs w:val="22"/>
          <w:lang w:val="es-ES"/>
        </w:rPr>
        <w:t>Afortunadamente</w:t>
      </w:r>
      <w:r w:rsidR="002D46E3">
        <w:rPr>
          <w:rFonts w:ascii="Bookman Old Style" w:hAnsi="Bookman Old Style"/>
          <w:sz w:val="22"/>
          <w:szCs w:val="22"/>
          <w:lang w:val="es-ES"/>
        </w:rPr>
        <w:t xml:space="preserve"> el Consejo de Estado no le da ese tratamiento, pero </w:t>
      </w:r>
      <w:r w:rsidR="00332446">
        <w:rPr>
          <w:rFonts w:ascii="Bookman Old Style" w:hAnsi="Bookman Old Style"/>
          <w:sz w:val="22"/>
          <w:szCs w:val="22"/>
          <w:lang w:val="es-ES"/>
        </w:rPr>
        <w:t>nos parece que se</w:t>
      </w:r>
      <w:r w:rsidR="00775931">
        <w:rPr>
          <w:rFonts w:ascii="Bookman Old Style" w:hAnsi="Bookman Old Style"/>
          <w:sz w:val="22"/>
          <w:szCs w:val="22"/>
          <w:lang w:val="es-ES"/>
        </w:rPr>
        <w:t xml:space="preserve"> trata de</w:t>
      </w:r>
      <w:r w:rsidR="002D46E3">
        <w:rPr>
          <w:rFonts w:ascii="Bookman Old Style" w:hAnsi="Bookman Old Style"/>
          <w:sz w:val="22"/>
          <w:szCs w:val="22"/>
          <w:lang w:val="es-ES"/>
        </w:rPr>
        <w:t xml:space="preserve"> una incongruencia</w:t>
      </w:r>
      <w:r w:rsidR="00775931">
        <w:rPr>
          <w:rFonts w:ascii="Bookman Old Style" w:hAnsi="Bookman Old Style"/>
          <w:sz w:val="22"/>
          <w:szCs w:val="22"/>
          <w:lang w:val="es-ES"/>
        </w:rPr>
        <w:t xml:space="preserve"> conceptual</w:t>
      </w:r>
      <w:r w:rsidR="002D46E3">
        <w:rPr>
          <w:rFonts w:ascii="Bookman Old Style" w:hAnsi="Bookman Old Style"/>
          <w:sz w:val="22"/>
          <w:szCs w:val="22"/>
          <w:lang w:val="es-ES"/>
        </w:rPr>
        <w:t>.</w:t>
      </w:r>
    </w:p>
    <w:p w:rsidR="00AB3346" w:rsidRPr="00B91E1C" w:rsidRDefault="00AB3346" w:rsidP="00F634F5">
      <w:pPr>
        <w:spacing w:line="276" w:lineRule="auto"/>
        <w:ind w:firstLine="708"/>
        <w:jc w:val="both"/>
        <w:rPr>
          <w:rFonts w:ascii="Bookman Old Style" w:hAnsi="Bookman Old Style"/>
          <w:sz w:val="22"/>
          <w:szCs w:val="22"/>
          <w:lang w:val="es-ES"/>
        </w:rPr>
      </w:pPr>
    </w:p>
    <w:p w:rsidR="00F826E4" w:rsidRPr="00B91E1C" w:rsidRDefault="00F826E4" w:rsidP="00332446">
      <w:pPr>
        <w:spacing w:line="276" w:lineRule="auto"/>
        <w:jc w:val="both"/>
        <w:rPr>
          <w:rFonts w:ascii="Bookman Old Style" w:hAnsi="Bookman Old Style"/>
          <w:b/>
          <w:i/>
          <w:sz w:val="22"/>
          <w:szCs w:val="22"/>
          <w:lang w:val="es-ES"/>
        </w:rPr>
      </w:pPr>
      <w:r w:rsidRPr="00B91E1C">
        <w:rPr>
          <w:rFonts w:ascii="Bookman Old Style" w:hAnsi="Bookman Old Style"/>
          <w:b/>
          <w:i/>
          <w:sz w:val="22"/>
          <w:szCs w:val="22"/>
          <w:lang w:val="es-ES"/>
        </w:rPr>
        <w:t>2.</w:t>
      </w:r>
      <w:r>
        <w:rPr>
          <w:rFonts w:ascii="Bookman Old Style" w:hAnsi="Bookman Old Style"/>
          <w:b/>
          <w:i/>
          <w:sz w:val="22"/>
          <w:szCs w:val="22"/>
          <w:lang w:val="es-ES"/>
        </w:rPr>
        <w:t>3</w:t>
      </w:r>
      <w:r w:rsidRPr="00B91E1C">
        <w:rPr>
          <w:rFonts w:ascii="Bookman Old Style" w:hAnsi="Bookman Old Style"/>
          <w:b/>
          <w:i/>
          <w:sz w:val="22"/>
          <w:szCs w:val="22"/>
          <w:lang w:val="es-ES"/>
        </w:rPr>
        <w:t xml:space="preserve">. </w:t>
      </w:r>
      <w:r w:rsidR="00DE584B">
        <w:rPr>
          <w:rFonts w:ascii="Bookman Old Style" w:hAnsi="Bookman Old Style"/>
          <w:b/>
          <w:i/>
          <w:sz w:val="22"/>
          <w:szCs w:val="22"/>
          <w:lang w:val="es-ES"/>
        </w:rPr>
        <w:t>Compensación o indemnización</w:t>
      </w:r>
    </w:p>
    <w:p w:rsidR="00CC2C8F" w:rsidRDefault="00CC2C8F" w:rsidP="00DE584B">
      <w:pPr>
        <w:spacing w:line="276" w:lineRule="auto"/>
        <w:jc w:val="both"/>
        <w:rPr>
          <w:rFonts w:ascii="Bookman Old Style" w:hAnsi="Bookman Old Style"/>
          <w:sz w:val="22"/>
          <w:szCs w:val="22"/>
          <w:lang w:val="es-ES"/>
        </w:rPr>
      </w:pPr>
    </w:p>
    <w:p w:rsidR="00DE584B" w:rsidRDefault="00DE584B" w:rsidP="00DE584B">
      <w:pPr>
        <w:spacing w:line="276" w:lineRule="auto"/>
        <w:jc w:val="both"/>
        <w:rPr>
          <w:rFonts w:ascii="Bookman Old Style" w:hAnsi="Bookman Old Style"/>
          <w:sz w:val="22"/>
          <w:szCs w:val="22"/>
          <w:lang w:val="es-ES"/>
        </w:rPr>
      </w:pPr>
      <w:r>
        <w:rPr>
          <w:rFonts w:ascii="Bookman Old Style" w:hAnsi="Bookman Old Style"/>
          <w:sz w:val="22"/>
          <w:szCs w:val="22"/>
          <w:lang w:val="es-ES"/>
        </w:rPr>
        <w:t xml:space="preserve">En relación con el pago </w:t>
      </w:r>
      <w:r w:rsidR="008C386C">
        <w:rPr>
          <w:rFonts w:ascii="Bookman Old Style" w:hAnsi="Bookman Old Style"/>
          <w:sz w:val="22"/>
          <w:szCs w:val="22"/>
          <w:lang w:val="es-ES"/>
        </w:rPr>
        <w:t xml:space="preserve">que se debe hacer </w:t>
      </w:r>
      <w:r w:rsidR="00940288">
        <w:rPr>
          <w:rFonts w:ascii="Bookman Old Style" w:hAnsi="Bookman Old Style"/>
          <w:sz w:val="22"/>
          <w:szCs w:val="22"/>
          <w:lang w:val="es-ES"/>
        </w:rPr>
        <w:t>a</w:t>
      </w:r>
      <w:r>
        <w:rPr>
          <w:rFonts w:ascii="Bookman Old Style" w:hAnsi="Bookman Old Style"/>
          <w:sz w:val="22"/>
          <w:szCs w:val="22"/>
          <w:lang w:val="es-ES"/>
        </w:rPr>
        <w:t xml:space="preserve">l empobrecido, cuando se </w:t>
      </w:r>
      <w:r w:rsidR="00940288">
        <w:rPr>
          <w:rFonts w:ascii="Bookman Old Style" w:hAnsi="Bookman Old Style"/>
          <w:sz w:val="22"/>
          <w:szCs w:val="22"/>
          <w:lang w:val="es-ES"/>
        </w:rPr>
        <w:t>configuran</w:t>
      </w:r>
      <w:r>
        <w:rPr>
          <w:rFonts w:ascii="Bookman Old Style" w:hAnsi="Bookman Old Style"/>
          <w:sz w:val="22"/>
          <w:szCs w:val="22"/>
          <w:lang w:val="es-ES"/>
        </w:rPr>
        <w:t xml:space="preserve"> las escasas ocasiones </w:t>
      </w:r>
      <w:r w:rsidR="0083163A">
        <w:rPr>
          <w:rFonts w:ascii="Bookman Old Style" w:hAnsi="Bookman Old Style"/>
          <w:sz w:val="22"/>
          <w:szCs w:val="22"/>
          <w:lang w:val="es-ES"/>
        </w:rPr>
        <w:t xml:space="preserve">donde </w:t>
      </w:r>
      <w:r>
        <w:rPr>
          <w:rFonts w:ascii="Bookman Old Style" w:hAnsi="Bookman Old Style"/>
          <w:sz w:val="22"/>
          <w:szCs w:val="22"/>
          <w:lang w:val="es-ES"/>
        </w:rPr>
        <w:t>la providencia lo admite, la Sala mantuvo la idea original de la teoría del enriquecimiento sin causa del derecho privado –como en casi todo lo demás–: se</w:t>
      </w:r>
      <w:r w:rsidR="0083163A">
        <w:rPr>
          <w:rFonts w:ascii="Bookman Old Style" w:hAnsi="Bookman Old Style"/>
          <w:sz w:val="22"/>
          <w:szCs w:val="22"/>
          <w:lang w:val="es-ES"/>
        </w:rPr>
        <w:t>rá</w:t>
      </w:r>
      <w:r>
        <w:rPr>
          <w:rFonts w:ascii="Bookman Old Style" w:hAnsi="Bookman Old Style"/>
          <w:sz w:val="22"/>
          <w:szCs w:val="22"/>
          <w:lang w:val="es-ES"/>
        </w:rPr>
        <w:t xml:space="preserve"> una </w:t>
      </w:r>
      <w:r w:rsidRPr="00DE584B">
        <w:rPr>
          <w:rFonts w:ascii="Bookman Old Style" w:hAnsi="Bookman Old Style"/>
          <w:i/>
          <w:sz w:val="22"/>
          <w:szCs w:val="22"/>
          <w:lang w:val="es-ES"/>
        </w:rPr>
        <w:t>compensación</w:t>
      </w:r>
      <w:r w:rsidR="008C386C">
        <w:rPr>
          <w:rFonts w:ascii="Bookman Old Style" w:hAnsi="Bookman Old Style"/>
          <w:i/>
          <w:sz w:val="22"/>
          <w:szCs w:val="22"/>
          <w:lang w:val="es-ES"/>
        </w:rPr>
        <w:t>,</w:t>
      </w:r>
      <w:r>
        <w:rPr>
          <w:rFonts w:ascii="Bookman Old Style" w:hAnsi="Bookman Old Style"/>
          <w:sz w:val="22"/>
          <w:szCs w:val="22"/>
          <w:lang w:val="es-ES"/>
        </w:rPr>
        <w:t xml:space="preserve"> no una </w:t>
      </w:r>
      <w:r w:rsidRPr="00DE584B">
        <w:rPr>
          <w:rFonts w:ascii="Bookman Old Style" w:hAnsi="Bookman Old Style"/>
          <w:i/>
          <w:sz w:val="22"/>
          <w:szCs w:val="22"/>
          <w:lang w:val="es-ES"/>
        </w:rPr>
        <w:t>indemnización</w:t>
      </w:r>
      <w:r>
        <w:rPr>
          <w:rFonts w:ascii="Bookman Old Style" w:hAnsi="Bookman Old Style"/>
          <w:sz w:val="22"/>
          <w:szCs w:val="22"/>
          <w:lang w:val="es-ES"/>
        </w:rPr>
        <w:t>.</w:t>
      </w:r>
    </w:p>
    <w:p w:rsidR="00DE584B" w:rsidRDefault="00DE584B" w:rsidP="00DE584B">
      <w:pPr>
        <w:spacing w:line="276" w:lineRule="auto"/>
        <w:jc w:val="both"/>
        <w:rPr>
          <w:rFonts w:ascii="Bookman Old Style" w:hAnsi="Bookman Old Style"/>
          <w:sz w:val="22"/>
          <w:szCs w:val="22"/>
          <w:lang w:val="es-ES"/>
        </w:rPr>
      </w:pPr>
      <w:r>
        <w:rPr>
          <w:rFonts w:ascii="Bookman Old Style" w:hAnsi="Bookman Old Style"/>
          <w:sz w:val="22"/>
          <w:szCs w:val="22"/>
          <w:lang w:val="es-ES"/>
        </w:rPr>
        <w:tab/>
        <w:t>La diferencia,</w:t>
      </w:r>
      <w:r w:rsidR="003E74FC">
        <w:rPr>
          <w:rFonts w:ascii="Bookman Old Style" w:hAnsi="Bookman Old Style"/>
          <w:sz w:val="22"/>
          <w:szCs w:val="22"/>
          <w:lang w:val="es-ES"/>
        </w:rPr>
        <w:t xml:space="preserve"> </w:t>
      </w:r>
      <w:r w:rsidR="008C386C">
        <w:rPr>
          <w:rFonts w:ascii="Bookman Old Style" w:hAnsi="Bookman Old Style"/>
          <w:sz w:val="22"/>
          <w:szCs w:val="22"/>
          <w:lang w:val="es-ES"/>
        </w:rPr>
        <w:t xml:space="preserve">que </w:t>
      </w:r>
      <w:r w:rsidR="003E74FC">
        <w:rPr>
          <w:rFonts w:ascii="Bookman Old Style" w:hAnsi="Bookman Old Style"/>
          <w:sz w:val="22"/>
          <w:szCs w:val="22"/>
          <w:lang w:val="es-ES"/>
        </w:rPr>
        <w:t>me parece que</w:t>
      </w:r>
      <w:r>
        <w:rPr>
          <w:rFonts w:ascii="Bookman Old Style" w:hAnsi="Bookman Old Style"/>
          <w:sz w:val="22"/>
          <w:szCs w:val="22"/>
          <w:lang w:val="es-ES"/>
        </w:rPr>
        <w:t xml:space="preserve"> no </w:t>
      </w:r>
      <w:r w:rsidR="008C386C">
        <w:rPr>
          <w:rFonts w:ascii="Bookman Old Style" w:hAnsi="Bookman Old Style"/>
          <w:sz w:val="22"/>
          <w:szCs w:val="22"/>
          <w:lang w:val="es-ES"/>
        </w:rPr>
        <w:t xml:space="preserve">es </w:t>
      </w:r>
      <w:r>
        <w:rPr>
          <w:rFonts w:ascii="Bookman Old Style" w:hAnsi="Bookman Old Style"/>
          <w:sz w:val="22"/>
          <w:szCs w:val="22"/>
          <w:lang w:val="es-ES"/>
        </w:rPr>
        <w:t xml:space="preserve">tan clara, </w:t>
      </w:r>
      <w:r w:rsidR="008C386C">
        <w:rPr>
          <w:rFonts w:ascii="Bookman Old Style" w:hAnsi="Bookman Old Style"/>
          <w:sz w:val="22"/>
          <w:szCs w:val="22"/>
          <w:lang w:val="es-ES"/>
        </w:rPr>
        <w:t>radica</w:t>
      </w:r>
      <w:r>
        <w:rPr>
          <w:rFonts w:ascii="Bookman Old Style" w:hAnsi="Bookman Old Style"/>
          <w:sz w:val="22"/>
          <w:szCs w:val="22"/>
          <w:lang w:val="es-ES"/>
        </w:rPr>
        <w:t xml:space="preserve"> en que la </w:t>
      </w:r>
      <w:r w:rsidR="0083163A">
        <w:rPr>
          <w:rFonts w:ascii="Bookman Old Style" w:hAnsi="Bookman Old Style"/>
          <w:i/>
          <w:sz w:val="22"/>
          <w:szCs w:val="22"/>
          <w:lang w:val="es-ES"/>
        </w:rPr>
        <w:t>primera</w:t>
      </w:r>
      <w:r>
        <w:rPr>
          <w:rFonts w:ascii="Bookman Old Style" w:hAnsi="Bookman Old Style"/>
          <w:sz w:val="22"/>
          <w:szCs w:val="22"/>
          <w:lang w:val="es-ES"/>
        </w:rPr>
        <w:t xml:space="preserve"> </w:t>
      </w:r>
      <w:r w:rsidR="008C386C">
        <w:rPr>
          <w:rFonts w:ascii="Bookman Old Style" w:hAnsi="Bookman Old Style"/>
          <w:sz w:val="22"/>
          <w:szCs w:val="22"/>
          <w:lang w:val="es-ES"/>
        </w:rPr>
        <w:t>consiste</w:t>
      </w:r>
      <w:r w:rsidR="00E106AB">
        <w:rPr>
          <w:rFonts w:ascii="Bookman Old Style" w:hAnsi="Bookman Old Style"/>
          <w:sz w:val="22"/>
          <w:szCs w:val="22"/>
          <w:lang w:val="es-ES"/>
        </w:rPr>
        <w:t xml:space="preserve"> en</w:t>
      </w:r>
      <w:r>
        <w:rPr>
          <w:rFonts w:ascii="Bookman Old Style" w:hAnsi="Bookman Old Style"/>
          <w:sz w:val="22"/>
          <w:szCs w:val="22"/>
          <w:lang w:val="es-ES"/>
        </w:rPr>
        <w:t xml:space="preserve"> el reconocimiento de los gastos en que incurr</w:t>
      </w:r>
      <w:r w:rsidR="008C386C">
        <w:rPr>
          <w:rFonts w:ascii="Bookman Old Style" w:hAnsi="Bookman Old Style"/>
          <w:sz w:val="22"/>
          <w:szCs w:val="22"/>
          <w:lang w:val="es-ES"/>
        </w:rPr>
        <w:t>e</w:t>
      </w:r>
      <w:r w:rsidR="009D61CD">
        <w:rPr>
          <w:rFonts w:ascii="Bookman Old Style" w:hAnsi="Bookman Old Style"/>
          <w:sz w:val="22"/>
          <w:szCs w:val="22"/>
          <w:lang w:val="es-ES"/>
        </w:rPr>
        <w:t xml:space="preserve"> </w:t>
      </w:r>
      <w:r>
        <w:rPr>
          <w:rFonts w:ascii="Bookman Old Style" w:hAnsi="Bookman Old Style"/>
          <w:sz w:val="22"/>
          <w:szCs w:val="22"/>
          <w:lang w:val="es-ES"/>
        </w:rPr>
        <w:t xml:space="preserve">el empobrecido para ejecutar </w:t>
      </w:r>
      <w:r w:rsidR="00E106AB">
        <w:rPr>
          <w:rFonts w:ascii="Bookman Old Style" w:hAnsi="Bookman Old Style"/>
          <w:sz w:val="22"/>
          <w:szCs w:val="22"/>
          <w:lang w:val="es-ES"/>
        </w:rPr>
        <w:t>el</w:t>
      </w:r>
      <w:r>
        <w:rPr>
          <w:rFonts w:ascii="Bookman Old Style" w:hAnsi="Bookman Old Style"/>
          <w:sz w:val="22"/>
          <w:szCs w:val="22"/>
          <w:lang w:val="es-ES"/>
        </w:rPr>
        <w:t xml:space="preserve"> trabajo; mientras que la </w:t>
      </w:r>
      <w:r w:rsidR="009D61CD">
        <w:rPr>
          <w:rFonts w:ascii="Bookman Old Style" w:hAnsi="Bookman Old Style"/>
          <w:sz w:val="22"/>
          <w:szCs w:val="22"/>
          <w:lang w:val="es-ES"/>
        </w:rPr>
        <w:t xml:space="preserve">segunda </w:t>
      </w:r>
      <w:r>
        <w:rPr>
          <w:rFonts w:ascii="Bookman Old Style" w:hAnsi="Bookman Old Style"/>
          <w:sz w:val="22"/>
          <w:szCs w:val="22"/>
          <w:lang w:val="es-ES"/>
        </w:rPr>
        <w:t xml:space="preserve">incluye el anterior concepto </w:t>
      </w:r>
      <w:r w:rsidR="009D61CD">
        <w:rPr>
          <w:rFonts w:ascii="Bookman Old Style" w:hAnsi="Bookman Old Style"/>
          <w:sz w:val="22"/>
          <w:szCs w:val="22"/>
          <w:lang w:val="es-ES"/>
        </w:rPr>
        <w:t>más</w:t>
      </w:r>
      <w:r>
        <w:rPr>
          <w:rFonts w:ascii="Bookman Old Style" w:hAnsi="Bookman Old Style"/>
          <w:sz w:val="22"/>
          <w:szCs w:val="22"/>
          <w:lang w:val="es-ES"/>
        </w:rPr>
        <w:t xml:space="preserve"> la utilidad esperada </w:t>
      </w:r>
      <w:r w:rsidR="00E106AB">
        <w:rPr>
          <w:rFonts w:ascii="Bookman Old Style" w:hAnsi="Bookman Old Style"/>
          <w:sz w:val="22"/>
          <w:szCs w:val="22"/>
          <w:lang w:val="es-ES"/>
        </w:rPr>
        <w:t>d</w:t>
      </w:r>
      <w:r>
        <w:rPr>
          <w:rFonts w:ascii="Bookman Old Style" w:hAnsi="Bookman Old Style"/>
          <w:sz w:val="22"/>
          <w:szCs w:val="22"/>
          <w:lang w:val="es-ES"/>
        </w:rPr>
        <w:t>el negocio.</w:t>
      </w:r>
    </w:p>
    <w:p w:rsidR="002D282C" w:rsidRDefault="002D282C" w:rsidP="00DE584B">
      <w:pPr>
        <w:spacing w:line="276" w:lineRule="auto"/>
        <w:jc w:val="both"/>
        <w:rPr>
          <w:rFonts w:ascii="Bookman Old Style" w:hAnsi="Bookman Old Style"/>
          <w:sz w:val="22"/>
          <w:szCs w:val="22"/>
          <w:lang w:val="es-ES"/>
        </w:rPr>
      </w:pPr>
      <w:r>
        <w:rPr>
          <w:rFonts w:ascii="Bookman Old Style" w:hAnsi="Bookman Old Style"/>
          <w:sz w:val="22"/>
          <w:szCs w:val="22"/>
          <w:lang w:val="es-ES"/>
        </w:rPr>
        <w:tab/>
        <w:t>Aplicando la idea</w:t>
      </w:r>
      <w:r w:rsidR="00CE1F76">
        <w:rPr>
          <w:rFonts w:ascii="Bookman Old Style" w:hAnsi="Bookman Old Style"/>
          <w:sz w:val="22"/>
          <w:szCs w:val="22"/>
          <w:lang w:val="es-ES"/>
        </w:rPr>
        <w:t xml:space="preserve"> a casos concretos</w:t>
      </w:r>
      <w:r>
        <w:rPr>
          <w:rFonts w:ascii="Bookman Old Style" w:hAnsi="Bookman Old Style"/>
          <w:sz w:val="22"/>
          <w:szCs w:val="22"/>
          <w:lang w:val="es-ES"/>
        </w:rPr>
        <w:t xml:space="preserve">, </w:t>
      </w:r>
      <w:r w:rsidR="00CE1F76">
        <w:rPr>
          <w:rFonts w:ascii="Bookman Old Style" w:hAnsi="Bookman Old Style"/>
          <w:sz w:val="22"/>
          <w:szCs w:val="22"/>
          <w:lang w:val="es-ES"/>
        </w:rPr>
        <w:t xml:space="preserve">a </w:t>
      </w:r>
      <w:r>
        <w:rPr>
          <w:rFonts w:ascii="Bookman Old Style" w:hAnsi="Bookman Old Style"/>
          <w:sz w:val="22"/>
          <w:szCs w:val="22"/>
          <w:lang w:val="es-ES"/>
        </w:rPr>
        <w:t>un constructor se le reconocerá el valor de los materiales que compró</w:t>
      </w:r>
      <w:r w:rsidR="00CE1F76">
        <w:rPr>
          <w:rFonts w:ascii="Bookman Old Style" w:hAnsi="Bookman Old Style"/>
          <w:sz w:val="22"/>
          <w:szCs w:val="22"/>
          <w:lang w:val="es-ES"/>
        </w:rPr>
        <w:t xml:space="preserve"> y de</w:t>
      </w:r>
      <w:r>
        <w:rPr>
          <w:rFonts w:ascii="Bookman Old Style" w:hAnsi="Bookman Old Style"/>
          <w:sz w:val="22"/>
          <w:szCs w:val="22"/>
          <w:lang w:val="es-ES"/>
        </w:rPr>
        <w:t xml:space="preserve"> la mano de obra que pagó, pero no la utilidad</w:t>
      </w:r>
      <w:r w:rsidR="00CE1F76">
        <w:rPr>
          <w:rFonts w:ascii="Bookman Old Style" w:hAnsi="Bookman Old Style"/>
          <w:sz w:val="22"/>
          <w:szCs w:val="22"/>
          <w:lang w:val="es-ES"/>
        </w:rPr>
        <w:t>; a</w:t>
      </w:r>
      <w:r>
        <w:rPr>
          <w:rFonts w:ascii="Bookman Old Style" w:hAnsi="Bookman Old Style"/>
          <w:sz w:val="22"/>
          <w:szCs w:val="22"/>
          <w:lang w:val="es-ES"/>
        </w:rPr>
        <w:t xml:space="preserve"> un consultor se le reconocerá el pago </w:t>
      </w:r>
      <w:r w:rsidR="00CE1F76">
        <w:rPr>
          <w:rFonts w:ascii="Bookman Old Style" w:hAnsi="Bookman Old Style"/>
          <w:sz w:val="22"/>
          <w:szCs w:val="22"/>
          <w:lang w:val="es-ES"/>
        </w:rPr>
        <w:t>de</w:t>
      </w:r>
      <w:r>
        <w:rPr>
          <w:rFonts w:ascii="Bookman Old Style" w:hAnsi="Bookman Old Style"/>
          <w:sz w:val="22"/>
          <w:szCs w:val="22"/>
          <w:lang w:val="es-ES"/>
        </w:rPr>
        <w:t>l personal que vinculó</w:t>
      </w:r>
      <w:r w:rsidR="00CE1F76">
        <w:rPr>
          <w:rFonts w:ascii="Bookman Old Style" w:hAnsi="Bookman Old Style"/>
          <w:sz w:val="22"/>
          <w:szCs w:val="22"/>
          <w:lang w:val="es-ES"/>
        </w:rPr>
        <w:t>,</w:t>
      </w:r>
      <w:r>
        <w:rPr>
          <w:rFonts w:ascii="Bookman Old Style" w:hAnsi="Bookman Old Style"/>
          <w:sz w:val="22"/>
          <w:szCs w:val="22"/>
          <w:lang w:val="es-ES"/>
        </w:rPr>
        <w:t xml:space="preserve"> pero no la utilidad del negocio</w:t>
      </w:r>
      <w:r w:rsidR="00CE1F76">
        <w:rPr>
          <w:rFonts w:ascii="Bookman Old Style" w:hAnsi="Bookman Old Style"/>
          <w:sz w:val="22"/>
          <w:szCs w:val="22"/>
          <w:lang w:val="es-ES"/>
        </w:rPr>
        <w:t>; y t</w:t>
      </w:r>
      <w:r>
        <w:rPr>
          <w:rFonts w:ascii="Bookman Old Style" w:hAnsi="Bookman Old Style"/>
          <w:sz w:val="22"/>
          <w:szCs w:val="22"/>
          <w:lang w:val="es-ES"/>
        </w:rPr>
        <w:t>ratándose de un contratista de prestación de servicios personales, la duda es más grande porque ¿solo se le reconocen los pasajes, o</w:t>
      </w:r>
      <w:r w:rsidR="00CE1F76">
        <w:rPr>
          <w:rFonts w:ascii="Bookman Old Style" w:hAnsi="Bookman Old Style"/>
          <w:sz w:val="22"/>
          <w:szCs w:val="22"/>
          <w:lang w:val="es-ES"/>
        </w:rPr>
        <w:t xml:space="preserve"> el costo </w:t>
      </w:r>
      <w:r w:rsidR="009D61CD">
        <w:rPr>
          <w:rFonts w:ascii="Bookman Old Style" w:hAnsi="Bookman Old Style"/>
          <w:sz w:val="22"/>
          <w:szCs w:val="22"/>
          <w:lang w:val="es-ES"/>
        </w:rPr>
        <w:t>de</w:t>
      </w:r>
      <w:r w:rsidR="00CE1F76">
        <w:rPr>
          <w:rFonts w:ascii="Bookman Old Style" w:hAnsi="Bookman Old Style"/>
          <w:sz w:val="22"/>
          <w:szCs w:val="22"/>
          <w:lang w:val="es-ES"/>
        </w:rPr>
        <w:t>l</w:t>
      </w:r>
      <w:r w:rsidR="009D61CD">
        <w:rPr>
          <w:rFonts w:ascii="Bookman Old Style" w:hAnsi="Bookman Old Style"/>
          <w:sz w:val="22"/>
          <w:szCs w:val="22"/>
          <w:lang w:val="es-ES"/>
        </w:rPr>
        <w:t xml:space="preserve"> </w:t>
      </w:r>
      <w:r>
        <w:rPr>
          <w:rFonts w:ascii="Bookman Old Style" w:hAnsi="Bookman Old Style"/>
          <w:sz w:val="22"/>
          <w:szCs w:val="22"/>
          <w:lang w:val="es-ES"/>
        </w:rPr>
        <w:t>parqueadero y la alimentación, teniendo en cuenta que en est</w:t>
      </w:r>
      <w:r w:rsidR="009D61CD">
        <w:rPr>
          <w:rFonts w:ascii="Bookman Old Style" w:hAnsi="Bookman Old Style"/>
          <w:sz w:val="22"/>
          <w:szCs w:val="22"/>
          <w:lang w:val="es-ES"/>
        </w:rPr>
        <w:t>os</w:t>
      </w:r>
      <w:r>
        <w:rPr>
          <w:rFonts w:ascii="Bookman Old Style" w:hAnsi="Bookman Old Style"/>
          <w:sz w:val="22"/>
          <w:szCs w:val="22"/>
          <w:lang w:val="es-ES"/>
        </w:rPr>
        <w:t xml:space="preserve"> contratos casi todo </w:t>
      </w:r>
      <w:r w:rsidR="00CE1F76">
        <w:rPr>
          <w:rFonts w:ascii="Bookman Old Style" w:hAnsi="Bookman Old Style"/>
          <w:sz w:val="22"/>
          <w:szCs w:val="22"/>
          <w:lang w:val="es-ES"/>
        </w:rPr>
        <w:t xml:space="preserve">el precio </w:t>
      </w:r>
      <w:r>
        <w:rPr>
          <w:rFonts w:ascii="Bookman Old Style" w:hAnsi="Bookman Old Style"/>
          <w:sz w:val="22"/>
          <w:szCs w:val="22"/>
          <w:lang w:val="es-ES"/>
        </w:rPr>
        <w:t xml:space="preserve">es </w:t>
      </w:r>
      <w:r w:rsidR="00CE1F76">
        <w:rPr>
          <w:rFonts w:ascii="Bookman Old Style" w:hAnsi="Bookman Old Style"/>
          <w:sz w:val="22"/>
          <w:szCs w:val="22"/>
          <w:lang w:val="es-ES"/>
        </w:rPr>
        <w:t xml:space="preserve">la </w:t>
      </w:r>
      <w:r>
        <w:rPr>
          <w:rFonts w:ascii="Bookman Old Style" w:hAnsi="Bookman Old Style"/>
          <w:sz w:val="22"/>
          <w:szCs w:val="22"/>
          <w:lang w:val="es-ES"/>
        </w:rPr>
        <w:t>utilidad?</w:t>
      </w:r>
    </w:p>
    <w:p w:rsidR="00DE584B" w:rsidRDefault="002D282C" w:rsidP="00DE584B">
      <w:pPr>
        <w:spacing w:line="276" w:lineRule="auto"/>
        <w:jc w:val="both"/>
        <w:rPr>
          <w:rFonts w:ascii="Bookman Old Style" w:hAnsi="Bookman Old Style"/>
          <w:sz w:val="22"/>
          <w:szCs w:val="22"/>
          <w:lang w:val="es-ES"/>
        </w:rPr>
      </w:pPr>
      <w:r>
        <w:rPr>
          <w:rFonts w:ascii="Bookman Old Style" w:hAnsi="Bookman Old Style"/>
          <w:sz w:val="22"/>
          <w:szCs w:val="22"/>
          <w:lang w:val="es-ES"/>
        </w:rPr>
        <w:tab/>
        <w:t>Una vez más, no comparto la importación hecha desde el derecho privado, hacia el derecho administrativo, de este aspecto de la teoría del enriquecimiento sin causa. Creo que se debe reconocer to</w:t>
      </w:r>
      <w:r w:rsidR="00ED6DD9">
        <w:rPr>
          <w:rFonts w:ascii="Bookman Old Style" w:hAnsi="Bookman Old Style"/>
          <w:sz w:val="22"/>
          <w:szCs w:val="22"/>
          <w:lang w:val="es-ES"/>
        </w:rPr>
        <w:t xml:space="preserve">do </w:t>
      </w:r>
      <w:r>
        <w:rPr>
          <w:rFonts w:ascii="Bookman Old Style" w:hAnsi="Bookman Old Style"/>
          <w:sz w:val="22"/>
          <w:szCs w:val="22"/>
          <w:lang w:val="es-ES"/>
        </w:rPr>
        <w:t>el enriquecimiento que recib</w:t>
      </w:r>
      <w:r w:rsidR="00CE1F76">
        <w:rPr>
          <w:rFonts w:ascii="Bookman Old Style" w:hAnsi="Bookman Old Style"/>
          <w:sz w:val="22"/>
          <w:szCs w:val="22"/>
          <w:lang w:val="es-ES"/>
        </w:rPr>
        <w:t>e</w:t>
      </w:r>
      <w:r>
        <w:rPr>
          <w:rFonts w:ascii="Bookman Old Style" w:hAnsi="Bookman Old Style"/>
          <w:sz w:val="22"/>
          <w:szCs w:val="22"/>
          <w:lang w:val="es-ES"/>
        </w:rPr>
        <w:t xml:space="preserve"> el favorecido con la prestación realizada sin contrato</w:t>
      </w:r>
      <w:r w:rsidR="00CE1F76">
        <w:rPr>
          <w:rFonts w:ascii="Bookman Old Style" w:hAnsi="Bookman Old Style"/>
          <w:sz w:val="22"/>
          <w:szCs w:val="22"/>
          <w:lang w:val="es-ES"/>
        </w:rPr>
        <w:t>,</w:t>
      </w:r>
      <w:r>
        <w:rPr>
          <w:rFonts w:ascii="Bookman Old Style" w:hAnsi="Bookman Old Style"/>
          <w:sz w:val="22"/>
          <w:szCs w:val="22"/>
          <w:lang w:val="es-ES"/>
        </w:rPr>
        <w:t xml:space="preserve"> </w:t>
      </w:r>
      <w:r w:rsidR="00CE1F76">
        <w:rPr>
          <w:rFonts w:ascii="Bookman Old Style" w:hAnsi="Bookman Old Style"/>
          <w:sz w:val="22"/>
          <w:szCs w:val="22"/>
          <w:lang w:val="es-ES"/>
        </w:rPr>
        <w:t>quien</w:t>
      </w:r>
      <w:r w:rsidR="001110A2">
        <w:rPr>
          <w:rFonts w:ascii="Bookman Old Style" w:hAnsi="Bookman Old Style"/>
          <w:sz w:val="22"/>
          <w:szCs w:val="22"/>
          <w:lang w:val="es-ES"/>
        </w:rPr>
        <w:t xml:space="preserve"> se beneficia no solo del valor de los bienes o materiales usados por el empobrecido para prestarle un servicio, sino también de la ganancia que no pagará por e</w:t>
      </w:r>
      <w:r w:rsidR="00CE1F76">
        <w:rPr>
          <w:rFonts w:ascii="Bookman Old Style" w:hAnsi="Bookman Old Style"/>
          <w:sz w:val="22"/>
          <w:szCs w:val="22"/>
          <w:lang w:val="es-ES"/>
        </w:rPr>
        <w:t>l</w:t>
      </w:r>
      <w:r w:rsidR="001110A2">
        <w:rPr>
          <w:rFonts w:ascii="Bookman Old Style" w:hAnsi="Bookman Old Style"/>
          <w:sz w:val="22"/>
          <w:szCs w:val="22"/>
          <w:lang w:val="es-ES"/>
        </w:rPr>
        <w:t xml:space="preserve"> trabajo. Es</w:t>
      </w:r>
      <w:r w:rsidR="007012D9">
        <w:rPr>
          <w:rFonts w:ascii="Bookman Old Style" w:hAnsi="Bookman Old Style"/>
          <w:sz w:val="22"/>
          <w:szCs w:val="22"/>
          <w:lang w:val="es-ES"/>
        </w:rPr>
        <w:t>t</w:t>
      </w:r>
      <w:r w:rsidR="001110A2">
        <w:rPr>
          <w:rFonts w:ascii="Bookman Old Style" w:hAnsi="Bookman Old Style"/>
          <w:sz w:val="22"/>
          <w:szCs w:val="22"/>
          <w:lang w:val="es-ES"/>
        </w:rPr>
        <w:t xml:space="preserve">e aspecto </w:t>
      </w:r>
      <w:r w:rsidR="007012D9">
        <w:rPr>
          <w:rFonts w:ascii="Bookman Old Style" w:hAnsi="Bookman Old Style"/>
          <w:sz w:val="22"/>
          <w:szCs w:val="22"/>
          <w:lang w:val="es-ES"/>
        </w:rPr>
        <w:t xml:space="preserve">también lo </w:t>
      </w:r>
      <w:r w:rsidR="001110A2">
        <w:rPr>
          <w:rFonts w:ascii="Bookman Old Style" w:hAnsi="Bookman Old Style"/>
          <w:sz w:val="22"/>
          <w:szCs w:val="22"/>
          <w:lang w:val="es-ES"/>
        </w:rPr>
        <w:t>enriquec</w:t>
      </w:r>
      <w:r w:rsidR="007012D9">
        <w:rPr>
          <w:rFonts w:ascii="Bookman Old Style" w:hAnsi="Bookman Old Style"/>
          <w:sz w:val="22"/>
          <w:szCs w:val="22"/>
          <w:lang w:val="es-ES"/>
        </w:rPr>
        <w:t>e</w:t>
      </w:r>
      <w:r w:rsidR="001110A2">
        <w:rPr>
          <w:rFonts w:ascii="Bookman Old Style" w:hAnsi="Bookman Old Style"/>
          <w:sz w:val="22"/>
          <w:szCs w:val="22"/>
          <w:lang w:val="es-ES"/>
        </w:rPr>
        <w:t>.</w:t>
      </w:r>
    </w:p>
    <w:p w:rsidR="001110A2" w:rsidRDefault="001110A2" w:rsidP="00DE584B">
      <w:pPr>
        <w:spacing w:line="276" w:lineRule="auto"/>
        <w:jc w:val="both"/>
        <w:rPr>
          <w:rFonts w:ascii="Bookman Old Style" w:hAnsi="Bookman Old Style"/>
          <w:sz w:val="22"/>
          <w:szCs w:val="22"/>
          <w:lang w:val="es-ES"/>
        </w:rPr>
      </w:pPr>
      <w:r w:rsidRPr="00465D9C">
        <w:rPr>
          <w:rFonts w:ascii="Bookman Old Style" w:hAnsi="Bookman Old Style"/>
          <w:sz w:val="22"/>
          <w:szCs w:val="22"/>
          <w:lang w:val="es-ES"/>
        </w:rPr>
        <w:tab/>
        <w:t>Y si de lo que se trata es de castigar al empobrecido, no hay razón</w:t>
      </w:r>
      <w:r w:rsidR="00465D9C" w:rsidRPr="00465D9C">
        <w:rPr>
          <w:rFonts w:ascii="Bookman Old Style" w:hAnsi="Bookman Old Style"/>
          <w:sz w:val="22"/>
          <w:szCs w:val="22"/>
          <w:lang w:val="es-ES"/>
        </w:rPr>
        <w:t xml:space="preserve"> para hacerlo</w:t>
      </w:r>
      <w:r w:rsidRPr="00465D9C">
        <w:rPr>
          <w:rFonts w:ascii="Bookman Old Style" w:hAnsi="Bookman Old Style"/>
          <w:sz w:val="22"/>
          <w:szCs w:val="22"/>
          <w:lang w:val="es-ES"/>
        </w:rPr>
        <w:t>, pues los casos en que procede el pago son absolutamente justificables</w:t>
      </w:r>
      <w:r w:rsidR="00465D9C" w:rsidRPr="00465D9C">
        <w:rPr>
          <w:rFonts w:ascii="Bookman Old Style" w:hAnsi="Bookman Old Style"/>
          <w:sz w:val="22"/>
          <w:szCs w:val="22"/>
          <w:lang w:val="es-ES"/>
        </w:rPr>
        <w:t xml:space="preserve"> –</w:t>
      </w:r>
      <w:r w:rsidRPr="00465D9C">
        <w:rPr>
          <w:rFonts w:ascii="Bookman Old Style" w:hAnsi="Bookman Old Style"/>
          <w:sz w:val="22"/>
          <w:szCs w:val="22"/>
          <w:lang w:val="es-ES"/>
        </w:rPr>
        <w:t>amenaza</w:t>
      </w:r>
      <w:r w:rsidR="00465D9C" w:rsidRPr="00465D9C">
        <w:rPr>
          <w:rFonts w:ascii="Bookman Old Style" w:hAnsi="Bookman Old Style"/>
          <w:sz w:val="22"/>
          <w:szCs w:val="22"/>
          <w:lang w:val="es-ES"/>
        </w:rPr>
        <w:t xml:space="preserve"> o co</w:t>
      </w:r>
      <w:r w:rsidR="001E13B9">
        <w:rPr>
          <w:rFonts w:ascii="Bookman Old Style" w:hAnsi="Bookman Old Style"/>
          <w:sz w:val="22"/>
          <w:szCs w:val="22"/>
          <w:lang w:val="es-ES"/>
        </w:rPr>
        <w:t>n</w:t>
      </w:r>
      <w:r w:rsidR="00465D9C" w:rsidRPr="00465D9C">
        <w:rPr>
          <w:rFonts w:ascii="Bookman Old Style" w:hAnsi="Bookman Old Style"/>
          <w:sz w:val="22"/>
          <w:szCs w:val="22"/>
          <w:lang w:val="es-ES"/>
        </w:rPr>
        <w:t>streñimiento</w:t>
      </w:r>
      <w:r w:rsidRPr="00465D9C">
        <w:rPr>
          <w:rFonts w:ascii="Bookman Old Style" w:hAnsi="Bookman Old Style"/>
          <w:sz w:val="22"/>
          <w:szCs w:val="22"/>
          <w:lang w:val="es-ES"/>
        </w:rPr>
        <w:t>, protección a la salud y urgencia manifiesta, y otros que se parezcan</w:t>
      </w:r>
      <w:r w:rsidR="00465D9C" w:rsidRPr="00465D9C">
        <w:rPr>
          <w:rFonts w:ascii="Bookman Old Style" w:hAnsi="Bookman Old Style"/>
          <w:sz w:val="22"/>
          <w:szCs w:val="22"/>
          <w:lang w:val="es-ES"/>
        </w:rPr>
        <w:t>– y lo debe asumir integralmente el enriquecido</w:t>
      </w:r>
      <w:r w:rsidRPr="00465D9C">
        <w:rPr>
          <w:rFonts w:ascii="Bookman Old Style" w:hAnsi="Bookman Old Style"/>
          <w:sz w:val="22"/>
          <w:szCs w:val="22"/>
          <w:lang w:val="es-ES"/>
        </w:rPr>
        <w:t>.</w:t>
      </w:r>
      <w:r w:rsidR="00465D9C" w:rsidRPr="00465D9C">
        <w:rPr>
          <w:rFonts w:ascii="Bookman Old Style" w:hAnsi="Bookman Old Style"/>
          <w:sz w:val="22"/>
          <w:szCs w:val="22"/>
          <w:lang w:val="es-ES"/>
        </w:rPr>
        <w:t xml:space="preserve"> </w:t>
      </w:r>
      <w:r w:rsidRPr="00465D9C">
        <w:rPr>
          <w:rFonts w:ascii="Bookman Old Style" w:hAnsi="Bookman Old Style"/>
          <w:sz w:val="22"/>
          <w:szCs w:val="22"/>
          <w:lang w:val="es-ES"/>
        </w:rPr>
        <w:t xml:space="preserve">La Sección Tercera debió recordar que en </w:t>
      </w:r>
      <w:r w:rsidR="001E13B9">
        <w:rPr>
          <w:rFonts w:ascii="Bookman Old Style" w:hAnsi="Bookman Old Style"/>
          <w:sz w:val="22"/>
          <w:szCs w:val="22"/>
          <w:lang w:val="es-ES"/>
        </w:rPr>
        <w:t xml:space="preserve">el </w:t>
      </w:r>
      <w:r w:rsidRPr="00465D9C">
        <w:rPr>
          <w:rFonts w:ascii="Bookman Old Style" w:hAnsi="Bookman Old Style"/>
          <w:sz w:val="22"/>
          <w:szCs w:val="22"/>
          <w:lang w:val="es-ES"/>
        </w:rPr>
        <w:t>derecho administrativo rige un principio especial</w:t>
      </w:r>
      <w:r w:rsidR="001E13B9">
        <w:rPr>
          <w:rFonts w:ascii="Bookman Old Style" w:hAnsi="Bookman Old Style"/>
          <w:sz w:val="22"/>
          <w:szCs w:val="22"/>
          <w:lang w:val="es-ES"/>
        </w:rPr>
        <w:t xml:space="preserve">: </w:t>
      </w:r>
      <w:r w:rsidRPr="00465D9C">
        <w:rPr>
          <w:rFonts w:ascii="Bookman Old Style" w:hAnsi="Bookman Old Style"/>
          <w:sz w:val="22"/>
          <w:szCs w:val="22"/>
          <w:lang w:val="es-ES"/>
        </w:rPr>
        <w:t xml:space="preserve">la </w:t>
      </w:r>
      <w:r w:rsidRPr="00465D9C">
        <w:rPr>
          <w:rFonts w:ascii="Bookman Old Style" w:hAnsi="Bookman Old Style"/>
          <w:i/>
          <w:sz w:val="22"/>
          <w:szCs w:val="22"/>
          <w:lang w:val="es-ES"/>
        </w:rPr>
        <w:t>indemnización integral</w:t>
      </w:r>
      <w:r w:rsidRPr="00465D9C">
        <w:rPr>
          <w:rFonts w:ascii="Bookman Old Style" w:hAnsi="Bookman Old Style"/>
          <w:sz w:val="22"/>
          <w:szCs w:val="22"/>
          <w:lang w:val="es-ES"/>
        </w:rPr>
        <w:t>, previsto en el art. 90 de la Constitución</w:t>
      </w:r>
      <w:r w:rsidR="001E13B9">
        <w:rPr>
          <w:rFonts w:ascii="Bookman Old Style" w:hAnsi="Bookman Old Style"/>
          <w:sz w:val="22"/>
          <w:szCs w:val="22"/>
          <w:lang w:val="es-ES"/>
        </w:rPr>
        <w:t xml:space="preserve"> Política</w:t>
      </w:r>
      <w:r w:rsidRPr="00465D9C">
        <w:rPr>
          <w:rFonts w:ascii="Bookman Old Style" w:hAnsi="Bookman Old Style"/>
          <w:sz w:val="22"/>
          <w:szCs w:val="22"/>
          <w:lang w:val="es-ES"/>
        </w:rPr>
        <w:t xml:space="preserve">, desde cuya </w:t>
      </w:r>
      <w:r w:rsidRPr="00465D9C">
        <w:rPr>
          <w:rFonts w:ascii="Bookman Old Style" w:hAnsi="Bookman Old Style"/>
          <w:sz w:val="22"/>
          <w:szCs w:val="22"/>
          <w:lang w:val="es-ES"/>
        </w:rPr>
        <w:lastRenderedPageBreak/>
        <w:t xml:space="preserve">inspiración es posible romper con la diferencia entre </w:t>
      </w:r>
      <w:r w:rsidRPr="001E13B9">
        <w:rPr>
          <w:rFonts w:ascii="Bookman Old Style" w:hAnsi="Bookman Old Style"/>
          <w:i/>
          <w:sz w:val="22"/>
          <w:szCs w:val="22"/>
          <w:lang w:val="es-ES"/>
        </w:rPr>
        <w:t>compensación</w:t>
      </w:r>
      <w:r w:rsidRPr="00465D9C">
        <w:rPr>
          <w:rFonts w:ascii="Bookman Old Style" w:hAnsi="Bookman Old Style"/>
          <w:sz w:val="22"/>
          <w:szCs w:val="22"/>
          <w:lang w:val="es-ES"/>
        </w:rPr>
        <w:t xml:space="preserve"> e </w:t>
      </w:r>
      <w:r w:rsidRPr="001E13B9">
        <w:rPr>
          <w:rFonts w:ascii="Bookman Old Style" w:hAnsi="Bookman Old Style"/>
          <w:i/>
          <w:sz w:val="22"/>
          <w:szCs w:val="22"/>
          <w:lang w:val="es-ES"/>
        </w:rPr>
        <w:t>indemnización</w:t>
      </w:r>
      <w:r w:rsidRPr="00465D9C">
        <w:rPr>
          <w:rFonts w:ascii="Bookman Old Style" w:hAnsi="Bookman Old Style"/>
          <w:sz w:val="22"/>
          <w:szCs w:val="22"/>
          <w:lang w:val="es-ES"/>
        </w:rPr>
        <w:t xml:space="preserve"> aplicada a los hechos cumplidos.</w:t>
      </w:r>
    </w:p>
    <w:p w:rsidR="007012D9" w:rsidRPr="00465D9C" w:rsidRDefault="007012D9" w:rsidP="00DE584B">
      <w:pPr>
        <w:spacing w:line="276" w:lineRule="auto"/>
        <w:jc w:val="both"/>
        <w:rPr>
          <w:rFonts w:ascii="Bookman Old Style" w:hAnsi="Bookman Old Style"/>
          <w:sz w:val="22"/>
          <w:szCs w:val="22"/>
          <w:lang w:val="es-ES"/>
        </w:rPr>
      </w:pPr>
      <w:r>
        <w:rPr>
          <w:rFonts w:ascii="Bookman Old Style" w:hAnsi="Bookman Old Style"/>
          <w:sz w:val="22"/>
          <w:szCs w:val="22"/>
          <w:lang w:val="es-ES"/>
        </w:rPr>
        <w:tab/>
      </w:r>
      <w:r w:rsidR="00E15FDC">
        <w:rPr>
          <w:rFonts w:ascii="Bookman Old Style" w:hAnsi="Bookman Old Style"/>
          <w:sz w:val="22"/>
          <w:szCs w:val="22"/>
          <w:lang w:val="es-ES"/>
        </w:rPr>
        <w:t xml:space="preserve">Entiendo </w:t>
      </w:r>
      <w:r w:rsidR="00FD0BA3">
        <w:rPr>
          <w:rFonts w:ascii="Bookman Old Style" w:hAnsi="Bookman Old Style"/>
          <w:sz w:val="22"/>
          <w:szCs w:val="22"/>
          <w:lang w:val="es-ES"/>
        </w:rPr>
        <w:t>mejor</w:t>
      </w:r>
      <w:r w:rsidR="00E15FDC">
        <w:rPr>
          <w:rFonts w:ascii="Bookman Old Style" w:hAnsi="Bookman Old Style"/>
          <w:sz w:val="22"/>
          <w:szCs w:val="22"/>
          <w:lang w:val="es-ES"/>
        </w:rPr>
        <w:t xml:space="preserve"> </w:t>
      </w:r>
      <w:r w:rsidR="00FD0BA3">
        <w:rPr>
          <w:rFonts w:ascii="Bookman Old Style" w:hAnsi="Bookman Old Style"/>
          <w:sz w:val="22"/>
          <w:szCs w:val="22"/>
          <w:lang w:val="es-ES"/>
        </w:rPr>
        <w:t>los casos del derecho privado que no admiten el reconocimiento de la utilidad o del lucro cesante en favor del empobrecido, para que todo se reduzca a la devolución del bien. Sucede cuando llega a las manos del enriquecido un bien ajeno, por abandono o pérdida. Cuando se le regrese el bien, mal podría el empobrecido exigir el pago del lucro cesante, o de intereses. Pero tratándose de la ejecución de prestaciones sin contrato estatal, por solicitud del enriquecido, ¿cómo no ha de pagar todo lo que vale el bien o servicio, incluida la utilidad justa de quien trabajo para entregarlo?</w:t>
      </w:r>
    </w:p>
    <w:p w:rsidR="000807F5" w:rsidRDefault="000807F5" w:rsidP="007E54E0">
      <w:pPr>
        <w:spacing w:line="276" w:lineRule="auto"/>
        <w:jc w:val="both"/>
        <w:rPr>
          <w:rFonts w:ascii="Bookman Old Style" w:hAnsi="Bookman Old Style"/>
          <w:sz w:val="22"/>
          <w:szCs w:val="22"/>
          <w:lang w:val="es-ES"/>
        </w:rPr>
      </w:pPr>
    </w:p>
    <w:p w:rsidR="00DE584B" w:rsidRPr="00B91E1C" w:rsidRDefault="00DE584B" w:rsidP="00CE1F76">
      <w:pPr>
        <w:spacing w:line="276" w:lineRule="auto"/>
        <w:jc w:val="both"/>
        <w:rPr>
          <w:rFonts w:ascii="Bookman Old Style" w:hAnsi="Bookman Old Style"/>
          <w:b/>
          <w:i/>
          <w:sz w:val="22"/>
          <w:szCs w:val="22"/>
          <w:lang w:val="es-ES"/>
        </w:rPr>
      </w:pPr>
      <w:r w:rsidRPr="00B91E1C">
        <w:rPr>
          <w:rFonts w:ascii="Bookman Old Style" w:hAnsi="Bookman Old Style"/>
          <w:b/>
          <w:i/>
          <w:sz w:val="22"/>
          <w:szCs w:val="22"/>
          <w:lang w:val="es-ES"/>
        </w:rPr>
        <w:t>2.</w:t>
      </w:r>
      <w:r>
        <w:rPr>
          <w:rFonts w:ascii="Bookman Old Style" w:hAnsi="Bookman Old Style"/>
          <w:b/>
          <w:i/>
          <w:sz w:val="22"/>
          <w:szCs w:val="22"/>
          <w:lang w:val="es-ES"/>
        </w:rPr>
        <w:t>4</w:t>
      </w:r>
      <w:r w:rsidRPr="00B91E1C">
        <w:rPr>
          <w:rFonts w:ascii="Bookman Old Style" w:hAnsi="Bookman Old Style"/>
          <w:b/>
          <w:i/>
          <w:sz w:val="22"/>
          <w:szCs w:val="22"/>
          <w:lang w:val="es-ES"/>
        </w:rPr>
        <w:t xml:space="preserve">. </w:t>
      </w:r>
      <w:r>
        <w:rPr>
          <w:rFonts w:ascii="Bookman Old Style" w:hAnsi="Bookman Old Style"/>
          <w:b/>
          <w:i/>
          <w:sz w:val="22"/>
          <w:szCs w:val="22"/>
          <w:lang w:val="es-ES"/>
        </w:rPr>
        <w:t>¿</w:t>
      </w:r>
      <w:r w:rsidR="00CE1F76">
        <w:rPr>
          <w:rFonts w:ascii="Bookman Old Style" w:hAnsi="Bookman Old Style"/>
          <w:b/>
          <w:i/>
          <w:sz w:val="22"/>
          <w:szCs w:val="22"/>
          <w:lang w:val="es-ES"/>
        </w:rPr>
        <w:t>La</w:t>
      </w:r>
      <w:r>
        <w:rPr>
          <w:rFonts w:ascii="Bookman Old Style" w:hAnsi="Bookman Old Style"/>
          <w:b/>
          <w:i/>
          <w:sz w:val="22"/>
          <w:szCs w:val="22"/>
          <w:lang w:val="es-ES"/>
        </w:rPr>
        <w:t xml:space="preserve"> actio in rem verso o </w:t>
      </w:r>
      <w:r w:rsidR="00CE1F76">
        <w:rPr>
          <w:rFonts w:ascii="Bookman Old Style" w:hAnsi="Bookman Old Style"/>
          <w:b/>
          <w:i/>
          <w:sz w:val="22"/>
          <w:szCs w:val="22"/>
          <w:lang w:val="es-ES"/>
        </w:rPr>
        <w:t>el medio de control</w:t>
      </w:r>
      <w:r>
        <w:rPr>
          <w:rFonts w:ascii="Bookman Old Style" w:hAnsi="Bookman Old Style"/>
          <w:b/>
          <w:i/>
          <w:sz w:val="22"/>
          <w:szCs w:val="22"/>
          <w:lang w:val="es-ES"/>
        </w:rPr>
        <w:t xml:space="preserve"> de reparación directa?</w:t>
      </w:r>
    </w:p>
    <w:p w:rsidR="00DE584B" w:rsidRDefault="00DE584B" w:rsidP="007E54E0">
      <w:pPr>
        <w:spacing w:line="276" w:lineRule="auto"/>
        <w:jc w:val="both"/>
        <w:rPr>
          <w:rFonts w:ascii="Bookman Old Style" w:hAnsi="Bookman Old Style"/>
          <w:sz w:val="22"/>
          <w:szCs w:val="22"/>
          <w:lang w:val="es-ES"/>
        </w:rPr>
      </w:pPr>
    </w:p>
    <w:p w:rsidR="00A722A6" w:rsidRDefault="00CE1F76" w:rsidP="007E54E0">
      <w:pPr>
        <w:spacing w:line="276" w:lineRule="auto"/>
        <w:jc w:val="both"/>
        <w:rPr>
          <w:rFonts w:ascii="Bookman Old Style" w:hAnsi="Bookman Old Style"/>
          <w:sz w:val="22"/>
          <w:szCs w:val="22"/>
          <w:lang w:val="es-ES"/>
        </w:rPr>
      </w:pPr>
      <w:r>
        <w:rPr>
          <w:rFonts w:ascii="Bookman Old Style" w:hAnsi="Bookman Old Style"/>
          <w:sz w:val="22"/>
          <w:szCs w:val="22"/>
          <w:lang w:val="es-ES"/>
        </w:rPr>
        <w:t>La sentencia que se analiza enfrentó</w:t>
      </w:r>
      <w:r w:rsidR="00A722A6">
        <w:rPr>
          <w:rFonts w:ascii="Bookman Old Style" w:hAnsi="Bookman Old Style"/>
          <w:sz w:val="22"/>
          <w:szCs w:val="22"/>
          <w:lang w:val="es-ES"/>
        </w:rPr>
        <w:t xml:space="preserve">, </w:t>
      </w:r>
      <w:r w:rsidR="00727EEE">
        <w:rPr>
          <w:rFonts w:ascii="Bookman Old Style" w:hAnsi="Bookman Old Style"/>
          <w:sz w:val="22"/>
          <w:szCs w:val="22"/>
          <w:lang w:val="es-ES"/>
        </w:rPr>
        <w:t xml:space="preserve">en la época en la que </w:t>
      </w:r>
      <w:r w:rsidR="00A722A6">
        <w:rPr>
          <w:rFonts w:ascii="Bookman Old Style" w:hAnsi="Bookman Old Style"/>
          <w:sz w:val="22"/>
          <w:szCs w:val="22"/>
          <w:lang w:val="es-ES"/>
        </w:rPr>
        <w:t xml:space="preserve">se expidió, </w:t>
      </w:r>
      <w:r w:rsidR="00D6005A">
        <w:rPr>
          <w:rFonts w:ascii="Bookman Old Style" w:hAnsi="Bookman Old Style"/>
          <w:sz w:val="22"/>
          <w:szCs w:val="22"/>
          <w:lang w:val="es-ES"/>
        </w:rPr>
        <w:t>un debate muy importante que</w:t>
      </w:r>
      <w:r w:rsidR="00D6005A">
        <w:rPr>
          <w:rFonts w:ascii="Bookman Old Style" w:hAnsi="Bookman Old Style"/>
          <w:sz w:val="22"/>
          <w:szCs w:val="22"/>
          <w:lang w:val="es-ES"/>
        </w:rPr>
        <w:t xml:space="preserve"> </w:t>
      </w:r>
      <w:r w:rsidR="00A722A6">
        <w:rPr>
          <w:rFonts w:ascii="Bookman Old Style" w:hAnsi="Bookman Old Style"/>
          <w:sz w:val="22"/>
          <w:szCs w:val="22"/>
          <w:lang w:val="es-ES"/>
        </w:rPr>
        <w:t xml:space="preserve">ofrecía </w:t>
      </w:r>
      <w:r>
        <w:rPr>
          <w:rFonts w:ascii="Bookman Old Style" w:hAnsi="Bookman Old Style"/>
          <w:sz w:val="22"/>
          <w:szCs w:val="22"/>
          <w:lang w:val="es-ES"/>
        </w:rPr>
        <w:t>la providencia</w:t>
      </w:r>
      <w:r w:rsidR="00EA5ADE">
        <w:rPr>
          <w:rFonts w:ascii="Bookman Old Style" w:hAnsi="Bookman Old Style"/>
          <w:sz w:val="22"/>
          <w:szCs w:val="22"/>
          <w:lang w:val="es-ES"/>
        </w:rPr>
        <w:t xml:space="preserve"> inmediatamente anterior que defin</w:t>
      </w:r>
      <w:r w:rsidR="00A722A6">
        <w:rPr>
          <w:rFonts w:ascii="Bookman Old Style" w:hAnsi="Bookman Old Style"/>
          <w:sz w:val="22"/>
          <w:szCs w:val="22"/>
          <w:lang w:val="es-ES"/>
        </w:rPr>
        <w:t xml:space="preserve">ía </w:t>
      </w:r>
      <w:r w:rsidR="00EA5ADE">
        <w:rPr>
          <w:rFonts w:ascii="Bookman Old Style" w:hAnsi="Bookman Old Style"/>
          <w:sz w:val="22"/>
          <w:szCs w:val="22"/>
          <w:lang w:val="es-ES"/>
        </w:rPr>
        <w:t>la comprensión de est</w:t>
      </w:r>
      <w:r w:rsidR="00D6005A">
        <w:rPr>
          <w:rFonts w:ascii="Bookman Old Style" w:hAnsi="Bookman Old Style"/>
          <w:sz w:val="22"/>
          <w:szCs w:val="22"/>
          <w:lang w:val="es-ES"/>
        </w:rPr>
        <w:t>e</w:t>
      </w:r>
      <w:r w:rsidR="00EA5ADE">
        <w:rPr>
          <w:rFonts w:ascii="Bookman Old Style" w:hAnsi="Bookman Old Style"/>
          <w:sz w:val="22"/>
          <w:szCs w:val="22"/>
          <w:lang w:val="es-ES"/>
        </w:rPr>
        <w:t xml:space="preserve"> tema: sentencia del </w:t>
      </w:r>
      <w:r w:rsidR="00D6005A">
        <w:rPr>
          <w:rFonts w:ascii="Bookman Old Style" w:hAnsi="Bookman Old Style"/>
          <w:sz w:val="22"/>
          <w:szCs w:val="22"/>
          <w:lang w:val="es-ES"/>
        </w:rPr>
        <w:t>22 de julio de 2009, exp. 35.026</w:t>
      </w:r>
      <w:r w:rsidR="00EA5ADE">
        <w:rPr>
          <w:rFonts w:ascii="Bookman Old Style" w:hAnsi="Bookman Old Style"/>
          <w:sz w:val="22"/>
          <w:szCs w:val="22"/>
          <w:lang w:val="es-ES"/>
        </w:rPr>
        <w:t xml:space="preserve">. Se trata de la </w:t>
      </w:r>
      <w:r w:rsidR="001F7ED3">
        <w:rPr>
          <w:rFonts w:ascii="Bookman Old Style" w:hAnsi="Bookman Old Style"/>
          <w:sz w:val="22"/>
          <w:szCs w:val="22"/>
          <w:lang w:val="es-ES"/>
        </w:rPr>
        <w:t xml:space="preserve">definición del medio de control a través de cual se reclama </w:t>
      </w:r>
      <w:r w:rsidR="00A722A6">
        <w:rPr>
          <w:rFonts w:ascii="Bookman Old Style" w:hAnsi="Bookman Old Style"/>
          <w:sz w:val="22"/>
          <w:szCs w:val="22"/>
          <w:lang w:val="es-ES"/>
        </w:rPr>
        <w:t xml:space="preserve">la compensación </w:t>
      </w:r>
      <w:r w:rsidR="001F7ED3">
        <w:rPr>
          <w:rFonts w:ascii="Bookman Old Style" w:hAnsi="Bookman Old Style"/>
          <w:sz w:val="22"/>
          <w:szCs w:val="22"/>
          <w:lang w:val="es-ES"/>
        </w:rPr>
        <w:t>–en lo</w:t>
      </w:r>
      <w:r w:rsidR="00A722A6">
        <w:rPr>
          <w:rFonts w:ascii="Bookman Old Style" w:hAnsi="Bookman Old Style"/>
          <w:sz w:val="22"/>
          <w:szCs w:val="22"/>
          <w:lang w:val="es-ES"/>
        </w:rPr>
        <w:t>s</w:t>
      </w:r>
      <w:r w:rsidR="001F7ED3">
        <w:rPr>
          <w:rFonts w:ascii="Bookman Old Style" w:hAnsi="Bookman Old Style"/>
          <w:sz w:val="22"/>
          <w:szCs w:val="22"/>
          <w:lang w:val="es-ES"/>
        </w:rPr>
        <w:t xml:space="preserve"> escasos eventos autorizados por la sentencia–</w:t>
      </w:r>
      <w:r w:rsidR="00A722A6">
        <w:rPr>
          <w:rFonts w:ascii="Bookman Old Style" w:hAnsi="Bookman Old Style"/>
          <w:sz w:val="22"/>
          <w:szCs w:val="22"/>
          <w:lang w:val="es-ES"/>
        </w:rPr>
        <w:t xml:space="preserve">. </w:t>
      </w:r>
    </w:p>
    <w:p w:rsidR="00A722A6" w:rsidRDefault="00A722A6" w:rsidP="00A722A6">
      <w:pPr>
        <w:spacing w:line="276" w:lineRule="auto"/>
        <w:ind w:firstLine="708"/>
        <w:jc w:val="both"/>
        <w:rPr>
          <w:rFonts w:ascii="Bookman Old Style" w:hAnsi="Bookman Old Style"/>
          <w:sz w:val="22"/>
          <w:szCs w:val="22"/>
          <w:lang w:val="es-ES"/>
        </w:rPr>
      </w:pPr>
      <w:r>
        <w:rPr>
          <w:rFonts w:ascii="Bookman Old Style" w:hAnsi="Bookman Old Style"/>
          <w:sz w:val="22"/>
          <w:szCs w:val="22"/>
          <w:lang w:val="es-ES"/>
        </w:rPr>
        <w:t xml:space="preserve">La </w:t>
      </w:r>
      <w:r w:rsidR="00D6005A">
        <w:rPr>
          <w:rFonts w:ascii="Bookman Old Style" w:hAnsi="Bookman Old Style"/>
          <w:sz w:val="22"/>
          <w:szCs w:val="22"/>
          <w:lang w:val="es-ES"/>
        </w:rPr>
        <w:t>providencia</w:t>
      </w:r>
      <w:r>
        <w:rPr>
          <w:rFonts w:ascii="Bookman Old Style" w:hAnsi="Bookman Old Style"/>
          <w:sz w:val="22"/>
          <w:szCs w:val="22"/>
          <w:lang w:val="es-ES"/>
        </w:rPr>
        <w:t xml:space="preserve"> del 2009 dispuso que el medio de control que se debía ejercer era la </w:t>
      </w:r>
      <w:r w:rsidRPr="00A722A6">
        <w:rPr>
          <w:rFonts w:ascii="Bookman Old Style" w:hAnsi="Bookman Old Style"/>
          <w:i/>
          <w:sz w:val="22"/>
          <w:szCs w:val="22"/>
          <w:lang w:val="es-ES"/>
        </w:rPr>
        <w:t>actio in rem verso</w:t>
      </w:r>
      <w:r>
        <w:rPr>
          <w:rFonts w:ascii="Bookman Old Style" w:hAnsi="Bookman Old Style"/>
          <w:sz w:val="22"/>
          <w:szCs w:val="22"/>
          <w:lang w:val="es-ES"/>
        </w:rPr>
        <w:t xml:space="preserve">, acción que calificó de autónoma, y que por no estar prevista en el CPACA –antes en el CCA– su caducidad era de 10 años. </w:t>
      </w:r>
    </w:p>
    <w:p w:rsidR="00CE1F76" w:rsidRDefault="00A722A6" w:rsidP="00A722A6">
      <w:pPr>
        <w:spacing w:line="276" w:lineRule="auto"/>
        <w:ind w:firstLine="708"/>
        <w:jc w:val="both"/>
        <w:rPr>
          <w:rFonts w:ascii="Bookman Old Style" w:hAnsi="Bookman Old Style"/>
          <w:sz w:val="22"/>
          <w:szCs w:val="22"/>
          <w:lang w:val="es-ES"/>
        </w:rPr>
      </w:pPr>
      <w:r>
        <w:rPr>
          <w:rFonts w:ascii="Bookman Old Style" w:hAnsi="Bookman Old Style"/>
          <w:sz w:val="22"/>
          <w:szCs w:val="22"/>
          <w:lang w:val="es-ES"/>
        </w:rPr>
        <w:t xml:space="preserve">Por su parte, la sentencia de unificación modificó esta </w:t>
      </w:r>
      <w:r w:rsidR="004B61D0">
        <w:rPr>
          <w:rFonts w:ascii="Bookman Old Style" w:hAnsi="Bookman Old Style"/>
          <w:sz w:val="22"/>
          <w:szCs w:val="22"/>
          <w:lang w:val="es-ES"/>
        </w:rPr>
        <w:t>idea</w:t>
      </w:r>
      <w:r>
        <w:rPr>
          <w:rFonts w:ascii="Bookman Old Style" w:hAnsi="Bookman Old Style"/>
          <w:sz w:val="22"/>
          <w:szCs w:val="22"/>
          <w:lang w:val="es-ES"/>
        </w:rPr>
        <w:t xml:space="preserve">, y concluyó que el enriquecimiento sin causa es una pretensión no un medio de control, y que por tratarse de un </w:t>
      </w:r>
      <w:r w:rsidR="00A1222D" w:rsidRPr="00B91E1C">
        <w:rPr>
          <w:rFonts w:ascii="Bookman Old Style" w:hAnsi="Bookman Old Style" w:cs="Tahoma"/>
          <w:sz w:val="22"/>
          <w:szCs w:val="22"/>
          <w:lang w:val="es-ES"/>
        </w:rPr>
        <w:t>«</w:t>
      </w:r>
      <w:r>
        <w:rPr>
          <w:rFonts w:ascii="Bookman Old Style" w:hAnsi="Bookman Old Style"/>
          <w:sz w:val="22"/>
          <w:szCs w:val="22"/>
          <w:lang w:val="es-ES"/>
        </w:rPr>
        <w:t>hecho</w:t>
      </w:r>
      <w:r w:rsidR="00A1222D" w:rsidRPr="00B91E1C">
        <w:rPr>
          <w:rFonts w:ascii="Bookman Old Style" w:hAnsi="Bookman Old Style" w:cs="Tahoma"/>
          <w:sz w:val="22"/>
          <w:szCs w:val="22"/>
          <w:lang w:val="es-ES"/>
        </w:rPr>
        <w:t>»</w:t>
      </w:r>
      <w:r>
        <w:rPr>
          <w:rFonts w:ascii="Bookman Old Style" w:hAnsi="Bookman Old Style"/>
          <w:sz w:val="22"/>
          <w:szCs w:val="22"/>
          <w:lang w:val="es-ES"/>
        </w:rPr>
        <w:t xml:space="preserve"> se debía tramitar como una reparación directa</w:t>
      </w:r>
      <w:r w:rsidR="00963DA4">
        <w:rPr>
          <w:rFonts w:ascii="Bookman Old Style" w:hAnsi="Bookman Old Style"/>
          <w:sz w:val="22"/>
          <w:szCs w:val="22"/>
          <w:lang w:val="es-ES"/>
        </w:rPr>
        <w:t xml:space="preserve">, así es que la caducidad, y los demás aspectos procesales, se </w:t>
      </w:r>
      <w:r w:rsidR="004B61D0">
        <w:rPr>
          <w:rFonts w:ascii="Bookman Old Style" w:hAnsi="Bookman Old Style"/>
          <w:sz w:val="22"/>
          <w:szCs w:val="22"/>
          <w:lang w:val="es-ES"/>
        </w:rPr>
        <w:t>gobiernan</w:t>
      </w:r>
      <w:r w:rsidR="00963DA4">
        <w:rPr>
          <w:rFonts w:ascii="Bookman Old Style" w:hAnsi="Bookman Old Style"/>
          <w:sz w:val="22"/>
          <w:szCs w:val="22"/>
          <w:lang w:val="es-ES"/>
        </w:rPr>
        <w:t xml:space="preserve"> por esta acción.</w:t>
      </w:r>
    </w:p>
    <w:p w:rsidR="00963DA4" w:rsidRDefault="00963DA4" w:rsidP="00A722A6">
      <w:pPr>
        <w:spacing w:line="276" w:lineRule="auto"/>
        <w:ind w:firstLine="708"/>
        <w:jc w:val="both"/>
        <w:rPr>
          <w:rFonts w:ascii="Bookman Old Style" w:hAnsi="Bookman Old Style"/>
          <w:sz w:val="22"/>
          <w:szCs w:val="22"/>
          <w:lang w:val="es-ES"/>
        </w:rPr>
      </w:pPr>
      <w:r>
        <w:rPr>
          <w:rFonts w:ascii="Bookman Old Style" w:hAnsi="Bookman Old Style"/>
          <w:sz w:val="22"/>
          <w:szCs w:val="22"/>
          <w:lang w:val="es-ES"/>
        </w:rPr>
        <w:t>La corrección procesal que hizo esta providencia nos parece notable. Definitivamente, a</w:t>
      </w:r>
      <w:r w:rsidR="000C5580">
        <w:rPr>
          <w:rFonts w:ascii="Bookman Old Style" w:hAnsi="Bookman Old Style"/>
          <w:sz w:val="22"/>
          <w:szCs w:val="22"/>
          <w:lang w:val="es-ES"/>
        </w:rPr>
        <w:t>l</w:t>
      </w:r>
      <w:r>
        <w:rPr>
          <w:rFonts w:ascii="Bookman Old Style" w:hAnsi="Bookman Old Style"/>
          <w:sz w:val="22"/>
          <w:szCs w:val="22"/>
          <w:lang w:val="es-ES"/>
        </w:rPr>
        <w:t xml:space="preserve"> derecho procesal contencioso administrativo </w:t>
      </w:r>
      <w:r w:rsidR="000C5580">
        <w:rPr>
          <w:rFonts w:ascii="Bookman Old Style" w:hAnsi="Bookman Old Style"/>
          <w:sz w:val="22"/>
          <w:szCs w:val="22"/>
          <w:lang w:val="es-ES"/>
        </w:rPr>
        <w:t>no era necesario incorporar</w:t>
      </w:r>
      <w:r w:rsidR="000C5580">
        <w:rPr>
          <w:rFonts w:ascii="Bookman Old Style" w:hAnsi="Bookman Old Style"/>
          <w:sz w:val="22"/>
          <w:szCs w:val="22"/>
          <w:lang w:val="es-ES"/>
        </w:rPr>
        <w:t>le</w:t>
      </w:r>
      <w:r w:rsidR="000C5580">
        <w:rPr>
          <w:rFonts w:ascii="Bookman Old Style" w:hAnsi="Bookman Old Style"/>
          <w:sz w:val="22"/>
          <w:szCs w:val="22"/>
          <w:lang w:val="es-ES"/>
        </w:rPr>
        <w:t xml:space="preserve"> </w:t>
      </w:r>
      <w:r>
        <w:rPr>
          <w:rFonts w:ascii="Bookman Old Style" w:hAnsi="Bookman Old Style"/>
          <w:sz w:val="22"/>
          <w:szCs w:val="22"/>
          <w:lang w:val="es-ES"/>
        </w:rPr>
        <w:t xml:space="preserve">aquella acción, autónoma, cuando existen medios de control disponible que satisfacen la posibilidad de formular las pretensiones de un evento de enriquecimiento sin causa. </w:t>
      </w:r>
    </w:p>
    <w:p w:rsidR="00963DA4" w:rsidRDefault="00963DA4" w:rsidP="00A722A6">
      <w:pPr>
        <w:spacing w:line="276" w:lineRule="auto"/>
        <w:ind w:firstLine="708"/>
        <w:jc w:val="both"/>
        <w:rPr>
          <w:rFonts w:ascii="Bookman Old Style" w:hAnsi="Bookman Old Style"/>
          <w:sz w:val="22"/>
          <w:szCs w:val="22"/>
          <w:lang w:val="es-ES"/>
        </w:rPr>
      </w:pPr>
      <w:r>
        <w:rPr>
          <w:rFonts w:ascii="Bookman Old Style" w:hAnsi="Bookman Old Style"/>
          <w:sz w:val="22"/>
          <w:szCs w:val="22"/>
          <w:lang w:val="es-ES"/>
        </w:rPr>
        <w:t xml:space="preserve">Inclusive, no se puede dejar de comentar que </w:t>
      </w:r>
      <w:r w:rsidR="00B1685F">
        <w:rPr>
          <w:rFonts w:ascii="Bookman Old Style" w:hAnsi="Bookman Old Style"/>
          <w:sz w:val="22"/>
          <w:szCs w:val="22"/>
          <w:lang w:val="es-ES"/>
        </w:rPr>
        <w:t xml:space="preserve">en el pasado </w:t>
      </w:r>
      <w:r>
        <w:rPr>
          <w:rFonts w:ascii="Bookman Old Style" w:hAnsi="Bookman Old Style"/>
          <w:sz w:val="22"/>
          <w:szCs w:val="22"/>
          <w:lang w:val="es-ES"/>
        </w:rPr>
        <w:t>hasta el medio de control de controversias contractuales</w:t>
      </w:r>
      <w:r w:rsidR="00B1685F" w:rsidRPr="00B1685F">
        <w:rPr>
          <w:rFonts w:ascii="Bookman Old Style" w:hAnsi="Bookman Old Style"/>
          <w:sz w:val="22"/>
          <w:szCs w:val="22"/>
          <w:lang w:val="es-ES"/>
        </w:rPr>
        <w:t xml:space="preserve"> </w:t>
      </w:r>
      <w:r w:rsidR="00B1685F">
        <w:rPr>
          <w:rFonts w:ascii="Bookman Old Style" w:hAnsi="Bookman Old Style"/>
          <w:sz w:val="22"/>
          <w:szCs w:val="22"/>
          <w:lang w:val="es-ES"/>
        </w:rPr>
        <w:t>se admitió con estos fines</w:t>
      </w:r>
      <w:r>
        <w:rPr>
          <w:rFonts w:ascii="Bookman Old Style" w:hAnsi="Bookman Old Style"/>
          <w:sz w:val="22"/>
          <w:szCs w:val="22"/>
          <w:lang w:val="es-ES"/>
        </w:rPr>
        <w:t xml:space="preserve">, </w:t>
      </w:r>
      <w:r w:rsidR="00B1685F">
        <w:rPr>
          <w:rFonts w:ascii="Bookman Old Style" w:hAnsi="Bookman Old Style"/>
          <w:sz w:val="22"/>
          <w:szCs w:val="22"/>
          <w:lang w:val="es-ES"/>
        </w:rPr>
        <w:t>por</w:t>
      </w:r>
      <w:r>
        <w:rPr>
          <w:rFonts w:ascii="Bookman Old Style" w:hAnsi="Bookman Old Style"/>
          <w:sz w:val="22"/>
          <w:szCs w:val="22"/>
          <w:lang w:val="es-ES"/>
        </w:rPr>
        <w:t xml:space="preserve">que </w:t>
      </w:r>
      <w:r w:rsidR="00B1685F">
        <w:rPr>
          <w:rFonts w:ascii="Bookman Old Style" w:hAnsi="Bookman Old Style"/>
          <w:sz w:val="22"/>
          <w:szCs w:val="22"/>
          <w:lang w:val="es-ES"/>
        </w:rPr>
        <w:t xml:space="preserve">admite </w:t>
      </w:r>
      <w:r>
        <w:rPr>
          <w:rFonts w:ascii="Bookman Old Style" w:hAnsi="Bookman Old Style"/>
          <w:sz w:val="22"/>
          <w:szCs w:val="22"/>
          <w:lang w:val="es-ES"/>
        </w:rPr>
        <w:t>entre sus pretensiones la declaración de existencia de un contrato</w:t>
      </w:r>
      <w:r w:rsidR="00B1685F">
        <w:rPr>
          <w:rFonts w:ascii="Bookman Old Style" w:hAnsi="Bookman Old Style"/>
          <w:sz w:val="22"/>
          <w:szCs w:val="22"/>
          <w:lang w:val="es-ES"/>
        </w:rPr>
        <w:t xml:space="preserve"> –art. 141 del CPACA–. Por lo tanto, a falta de un medio de control adaptable a las necesidades del enriquecimiento sin causa existen dos; ¿para que otro?</w:t>
      </w:r>
    </w:p>
    <w:p w:rsidR="00EA5ADE" w:rsidRDefault="00EA5ADE" w:rsidP="007E54E0">
      <w:pPr>
        <w:spacing w:line="276" w:lineRule="auto"/>
        <w:jc w:val="both"/>
        <w:rPr>
          <w:rFonts w:ascii="Bookman Old Style" w:hAnsi="Bookman Old Style"/>
          <w:sz w:val="22"/>
          <w:szCs w:val="22"/>
          <w:lang w:val="es-ES"/>
        </w:rPr>
      </w:pPr>
    </w:p>
    <w:p w:rsidR="00EA5ADE" w:rsidRDefault="00EA5ADE" w:rsidP="007E54E0">
      <w:pPr>
        <w:spacing w:line="276" w:lineRule="auto"/>
        <w:jc w:val="both"/>
        <w:rPr>
          <w:rFonts w:ascii="Bookman Old Style" w:hAnsi="Bookman Old Style"/>
          <w:sz w:val="22"/>
          <w:szCs w:val="22"/>
          <w:lang w:val="es-ES"/>
        </w:rPr>
      </w:pPr>
    </w:p>
    <w:p w:rsidR="00EA5ADE" w:rsidRPr="00B91E1C" w:rsidRDefault="00EA5ADE" w:rsidP="007E54E0">
      <w:pPr>
        <w:spacing w:line="276" w:lineRule="auto"/>
        <w:jc w:val="both"/>
        <w:rPr>
          <w:rFonts w:ascii="Bookman Old Style" w:hAnsi="Bookman Old Style"/>
          <w:sz w:val="22"/>
          <w:szCs w:val="22"/>
          <w:lang w:val="es-ES"/>
        </w:rPr>
      </w:pPr>
    </w:p>
    <w:sectPr w:rsidR="00EA5ADE" w:rsidRPr="00B91E1C" w:rsidSect="007B2F50">
      <w:headerReference w:type="default" r:id="rId8"/>
      <w:footerReference w:type="even" r:id="rId9"/>
      <w:footerReference w:type="default" r:id="rId10"/>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2A1" w:rsidRDefault="002302A1" w:rsidP="00221D9E">
      <w:r>
        <w:separator/>
      </w:r>
    </w:p>
  </w:endnote>
  <w:endnote w:type="continuationSeparator" w:id="0">
    <w:p w:rsidR="002302A1" w:rsidRDefault="002302A1" w:rsidP="0022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7B" w:rsidRDefault="0095687B" w:rsidP="00382CC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rsidR="0095687B" w:rsidRDefault="0095687B" w:rsidP="00BE37CA">
    <w:pPr>
      <w:pStyle w:val="Piedepgina"/>
      <w:framePr w:wrap="none" w:vAnchor="text" w:hAnchor="margin" w:xAlign="center"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p w:rsidR="0095687B" w:rsidRDefault="009568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7B" w:rsidRPr="00BE37CA" w:rsidRDefault="0095687B" w:rsidP="007B2F50">
    <w:pPr>
      <w:pStyle w:val="Piedepgina"/>
      <w:framePr w:h="875" w:hRule="exact" w:wrap="none" w:vAnchor="text" w:hAnchor="page" w:x="10537" w:y="-162"/>
      <w:rPr>
        <w:rStyle w:val="Nmerodepgina"/>
        <w:sz w:val="18"/>
        <w:szCs w:val="18"/>
      </w:rPr>
    </w:pPr>
    <w:r w:rsidRPr="00BE37CA">
      <w:rPr>
        <w:rStyle w:val="Nmerodepgina"/>
        <w:sz w:val="18"/>
        <w:szCs w:val="18"/>
      </w:rPr>
      <w:fldChar w:fldCharType="begin"/>
    </w:r>
    <w:r w:rsidRPr="00BE37CA">
      <w:rPr>
        <w:rStyle w:val="Nmerodepgina"/>
        <w:sz w:val="18"/>
        <w:szCs w:val="18"/>
      </w:rPr>
      <w:instrText xml:space="preserve"> PAGE </w:instrText>
    </w:r>
    <w:r w:rsidRPr="00BE37CA">
      <w:rPr>
        <w:rStyle w:val="Nmerodepgina"/>
        <w:sz w:val="18"/>
        <w:szCs w:val="18"/>
      </w:rPr>
      <w:fldChar w:fldCharType="separate"/>
    </w:r>
    <w:r w:rsidRPr="00BE37CA">
      <w:rPr>
        <w:rStyle w:val="Nmerodepgina"/>
        <w:noProof/>
        <w:sz w:val="18"/>
        <w:szCs w:val="18"/>
      </w:rPr>
      <w:t>10</w:t>
    </w:r>
    <w:r w:rsidRPr="00BE37CA">
      <w:rPr>
        <w:rStyle w:val="Nmerodepgina"/>
        <w:sz w:val="18"/>
        <w:szCs w:val="18"/>
      </w:rPr>
      <w:fldChar w:fldCharType="end"/>
    </w:r>
  </w:p>
  <w:p w:rsidR="0095687B" w:rsidRDefault="0095687B" w:rsidP="00BE37C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2A1" w:rsidRDefault="002302A1" w:rsidP="00221D9E">
      <w:r>
        <w:separator/>
      </w:r>
    </w:p>
  </w:footnote>
  <w:footnote w:type="continuationSeparator" w:id="0">
    <w:p w:rsidR="002302A1" w:rsidRDefault="002302A1" w:rsidP="00221D9E">
      <w:r>
        <w:continuationSeparator/>
      </w:r>
    </w:p>
  </w:footnote>
  <w:footnote w:id="1">
    <w:p w:rsidR="0095687B" w:rsidRPr="006C5B5E" w:rsidRDefault="0095687B" w:rsidP="002E0DAC">
      <w:pPr>
        <w:pStyle w:val="Textonotapie"/>
        <w:ind w:firstLine="709"/>
        <w:jc w:val="both"/>
        <w:rPr>
          <w:rFonts w:ascii="Bookman Old Style" w:hAnsi="Bookman Old Style"/>
          <w:lang w:val="es-ES"/>
        </w:rPr>
      </w:pPr>
      <w:r w:rsidRPr="006C5B5E">
        <w:rPr>
          <w:rStyle w:val="Refdenotaalpie"/>
          <w:rFonts w:ascii="Bookman Old Style" w:hAnsi="Bookman Old Style"/>
          <w:lang w:val="es-ES"/>
        </w:rPr>
        <w:footnoteRef/>
      </w:r>
      <w:r w:rsidRPr="006C5B5E">
        <w:rPr>
          <w:rFonts w:ascii="Bookman Old Style" w:hAnsi="Bookman Old Style"/>
          <w:lang w:val="es-ES"/>
        </w:rPr>
        <w:t xml:space="preserve"> Director del Centro de Estudios de Derecho Administrativo</w:t>
      </w:r>
      <w:r>
        <w:rPr>
          <w:rFonts w:ascii="Bookman Old Style" w:hAnsi="Bookman Old Style"/>
          <w:lang w:val="es-ES"/>
        </w:rPr>
        <w:t xml:space="preserve"> –CEDA–</w:t>
      </w:r>
      <w:r w:rsidRPr="006C5B5E">
        <w:rPr>
          <w:rFonts w:ascii="Bookman Old Style" w:hAnsi="Bookman Old Style"/>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7B" w:rsidRDefault="002302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CEDA_0417_MEMBRETE_01-01" style="position:absolute;margin-left:-84.8pt;margin-top:-86.65pt;width:611.95pt;height:791.95pt;z-index:-251658752;mso-wrap-edited:f;mso-width-percent:0;mso-height-percent:0;mso-position-horizontal-relative:margin;mso-position-vertical-relative:margin;mso-width-percent:0;mso-height-percent:0"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7CFF"/>
    <w:multiLevelType w:val="hybridMultilevel"/>
    <w:tmpl w:val="7DD4AFD4"/>
    <w:lvl w:ilvl="0" w:tplc="0E449780">
      <w:start w:val="2"/>
      <w:numFmt w:val="bullet"/>
      <w:lvlText w:val="-"/>
      <w:lvlJc w:val="left"/>
      <w:pPr>
        <w:ind w:left="1068" w:hanging="360"/>
      </w:pPr>
      <w:rPr>
        <w:rFonts w:ascii="Bookman Old Style" w:eastAsia="Times New Roman" w:hAnsi="Bookman Old Style"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15:restartNumberingAfterBreak="0">
    <w:nsid w:val="0B685437"/>
    <w:multiLevelType w:val="hybridMultilevel"/>
    <w:tmpl w:val="9FCA8DBC"/>
    <w:lvl w:ilvl="0" w:tplc="2C12382E">
      <w:start w:val="1"/>
      <w:numFmt w:val="lowerRoman"/>
      <w:lvlText w:val="%1)"/>
      <w:lvlJc w:val="left"/>
      <w:pPr>
        <w:ind w:left="3696" w:hanging="720"/>
      </w:pPr>
      <w:rPr>
        <w:rFonts w:hint="default"/>
        <w:i/>
      </w:rPr>
    </w:lvl>
    <w:lvl w:ilvl="1" w:tplc="040A0019" w:tentative="1">
      <w:start w:val="1"/>
      <w:numFmt w:val="lowerLetter"/>
      <w:lvlText w:val="%2."/>
      <w:lvlJc w:val="left"/>
      <w:pPr>
        <w:ind w:left="4056" w:hanging="360"/>
      </w:pPr>
    </w:lvl>
    <w:lvl w:ilvl="2" w:tplc="040A001B" w:tentative="1">
      <w:start w:val="1"/>
      <w:numFmt w:val="lowerRoman"/>
      <w:lvlText w:val="%3."/>
      <w:lvlJc w:val="right"/>
      <w:pPr>
        <w:ind w:left="4776" w:hanging="180"/>
      </w:pPr>
    </w:lvl>
    <w:lvl w:ilvl="3" w:tplc="040A000F" w:tentative="1">
      <w:start w:val="1"/>
      <w:numFmt w:val="decimal"/>
      <w:lvlText w:val="%4."/>
      <w:lvlJc w:val="left"/>
      <w:pPr>
        <w:ind w:left="5496" w:hanging="360"/>
      </w:pPr>
    </w:lvl>
    <w:lvl w:ilvl="4" w:tplc="040A0019" w:tentative="1">
      <w:start w:val="1"/>
      <w:numFmt w:val="lowerLetter"/>
      <w:lvlText w:val="%5."/>
      <w:lvlJc w:val="left"/>
      <w:pPr>
        <w:ind w:left="6216" w:hanging="360"/>
      </w:pPr>
    </w:lvl>
    <w:lvl w:ilvl="5" w:tplc="040A001B" w:tentative="1">
      <w:start w:val="1"/>
      <w:numFmt w:val="lowerRoman"/>
      <w:lvlText w:val="%6."/>
      <w:lvlJc w:val="right"/>
      <w:pPr>
        <w:ind w:left="6936" w:hanging="180"/>
      </w:pPr>
    </w:lvl>
    <w:lvl w:ilvl="6" w:tplc="040A000F" w:tentative="1">
      <w:start w:val="1"/>
      <w:numFmt w:val="decimal"/>
      <w:lvlText w:val="%7."/>
      <w:lvlJc w:val="left"/>
      <w:pPr>
        <w:ind w:left="7656" w:hanging="360"/>
      </w:pPr>
    </w:lvl>
    <w:lvl w:ilvl="7" w:tplc="040A0019" w:tentative="1">
      <w:start w:val="1"/>
      <w:numFmt w:val="lowerLetter"/>
      <w:lvlText w:val="%8."/>
      <w:lvlJc w:val="left"/>
      <w:pPr>
        <w:ind w:left="8376" w:hanging="360"/>
      </w:pPr>
    </w:lvl>
    <w:lvl w:ilvl="8" w:tplc="040A001B" w:tentative="1">
      <w:start w:val="1"/>
      <w:numFmt w:val="lowerRoman"/>
      <w:lvlText w:val="%9."/>
      <w:lvlJc w:val="right"/>
      <w:pPr>
        <w:ind w:left="9096" w:hanging="180"/>
      </w:pPr>
    </w:lvl>
  </w:abstractNum>
  <w:abstractNum w:abstractNumId="2" w15:restartNumberingAfterBreak="0">
    <w:nsid w:val="1FB345B7"/>
    <w:multiLevelType w:val="hybridMultilevel"/>
    <w:tmpl w:val="CC9036BA"/>
    <w:lvl w:ilvl="0" w:tplc="F6281016">
      <w:start w:val="1"/>
      <w:numFmt w:val="lowerLetter"/>
      <w:lvlText w:val="%1)"/>
      <w:lvlJc w:val="left"/>
      <w:pPr>
        <w:ind w:left="360" w:hanging="360"/>
      </w:pPr>
      <w:rPr>
        <w:rFonts w:ascii="Arial" w:eastAsia="Times New Roman"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3F641CA1"/>
    <w:multiLevelType w:val="hybridMultilevel"/>
    <w:tmpl w:val="1C1845E0"/>
    <w:lvl w:ilvl="0" w:tplc="040A000F">
      <w:start w:val="1"/>
      <w:numFmt w:val="decimal"/>
      <w:lvlText w:val="%1."/>
      <w:lvlJc w:val="left"/>
      <w:pPr>
        <w:ind w:left="1287"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F3"/>
    <w:rsid w:val="0000008B"/>
    <w:rsid w:val="000000BB"/>
    <w:rsid w:val="00005C64"/>
    <w:rsid w:val="00011F35"/>
    <w:rsid w:val="000128FE"/>
    <w:rsid w:val="00013C40"/>
    <w:rsid w:val="0001796E"/>
    <w:rsid w:val="000233D7"/>
    <w:rsid w:val="0002579C"/>
    <w:rsid w:val="00026BAD"/>
    <w:rsid w:val="0003227B"/>
    <w:rsid w:val="0003428A"/>
    <w:rsid w:val="00035D87"/>
    <w:rsid w:val="000361D6"/>
    <w:rsid w:val="00036D5C"/>
    <w:rsid w:val="00036DEA"/>
    <w:rsid w:val="00041E38"/>
    <w:rsid w:val="000469DB"/>
    <w:rsid w:val="00047EAE"/>
    <w:rsid w:val="0005116B"/>
    <w:rsid w:val="00052538"/>
    <w:rsid w:val="00052B2D"/>
    <w:rsid w:val="00052E0B"/>
    <w:rsid w:val="000534EC"/>
    <w:rsid w:val="00054EEC"/>
    <w:rsid w:val="00057476"/>
    <w:rsid w:val="000652DC"/>
    <w:rsid w:val="00065BD5"/>
    <w:rsid w:val="000710FE"/>
    <w:rsid w:val="0007424F"/>
    <w:rsid w:val="00075A11"/>
    <w:rsid w:val="000767BB"/>
    <w:rsid w:val="0007729C"/>
    <w:rsid w:val="000807F5"/>
    <w:rsid w:val="00083C56"/>
    <w:rsid w:val="0009154C"/>
    <w:rsid w:val="0009292E"/>
    <w:rsid w:val="0009311C"/>
    <w:rsid w:val="0009621C"/>
    <w:rsid w:val="000A1616"/>
    <w:rsid w:val="000A2870"/>
    <w:rsid w:val="000A2B58"/>
    <w:rsid w:val="000A3E0B"/>
    <w:rsid w:val="000A55C5"/>
    <w:rsid w:val="000A5CD4"/>
    <w:rsid w:val="000B0FC2"/>
    <w:rsid w:val="000B4AC3"/>
    <w:rsid w:val="000B5368"/>
    <w:rsid w:val="000C2991"/>
    <w:rsid w:val="000C4973"/>
    <w:rsid w:val="000C4C23"/>
    <w:rsid w:val="000C4E80"/>
    <w:rsid w:val="000C5580"/>
    <w:rsid w:val="000D0645"/>
    <w:rsid w:val="000D1776"/>
    <w:rsid w:val="000D32C5"/>
    <w:rsid w:val="000E282F"/>
    <w:rsid w:val="000E6EFD"/>
    <w:rsid w:val="000E791F"/>
    <w:rsid w:val="000F4961"/>
    <w:rsid w:val="000F6A0E"/>
    <w:rsid w:val="000F7B9A"/>
    <w:rsid w:val="0010035A"/>
    <w:rsid w:val="001018AB"/>
    <w:rsid w:val="00101C2C"/>
    <w:rsid w:val="00106A99"/>
    <w:rsid w:val="00106D93"/>
    <w:rsid w:val="001076CB"/>
    <w:rsid w:val="001110A2"/>
    <w:rsid w:val="00114DBD"/>
    <w:rsid w:val="00114F4A"/>
    <w:rsid w:val="001203D1"/>
    <w:rsid w:val="00121FDB"/>
    <w:rsid w:val="00123EE8"/>
    <w:rsid w:val="001247EF"/>
    <w:rsid w:val="00131599"/>
    <w:rsid w:val="0013202F"/>
    <w:rsid w:val="00135B0F"/>
    <w:rsid w:val="00136D29"/>
    <w:rsid w:val="001418AA"/>
    <w:rsid w:val="00142CEC"/>
    <w:rsid w:val="0014447D"/>
    <w:rsid w:val="00145ABD"/>
    <w:rsid w:val="001539A0"/>
    <w:rsid w:val="001542DA"/>
    <w:rsid w:val="001543EF"/>
    <w:rsid w:val="001605DE"/>
    <w:rsid w:val="00161F9C"/>
    <w:rsid w:val="001651C6"/>
    <w:rsid w:val="00166CBD"/>
    <w:rsid w:val="00171F7A"/>
    <w:rsid w:val="00175E1F"/>
    <w:rsid w:val="001801C7"/>
    <w:rsid w:val="0018590A"/>
    <w:rsid w:val="00190A96"/>
    <w:rsid w:val="00190DE5"/>
    <w:rsid w:val="00192D53"/>
    <w:rsid w:val="001A025E"/>
    <w:rsid w:val="001A0D27"/>
    <w:rsid w:val="001A2471"/>
    <w:rsid w:val="001A344A"/>
    <w:rsid w:val="001B0718"/>
    <w:rsid w:val="001B5D1D"/>
    <w:rsid w:val="001B7047"/>
    <w:rsid w:val="001C3061"/>
    <w:rsid w:val="001C3AA5"/>
    <w:rsid w:val="001D2A7B"/>
    <w:rsid w:val="001D2E98"/>
    <w:rsid w:val="001D3F19"/>
    <w:rsid w:val="001D7859"/>
    <w:rsid w:val="001E02CE"/>
    <w:rsid w:val="001E13B9"/>
    <w:rsid w:val="001E26A5"/>
    <w:rsid w:val="001E4AA6"/>
    <w:rsid w:val="001E5ECA"/>
    <w:rsid w:val="001F1E5B"/>
    <w:rsid w:val="001F7ED3"/>
    <w:rsid w:val="00202F3A"/>
    <w:rsid w:val="00210A17"/>
    <w:rsid w:val="0021222C"/>
    <w:rsid w:val="00212FBB"/>
    <w:rsid w:val="00217785"/>
    <w:rsid w:val="00220332"/>
    <w:rsid w:val="00221D9E"/>
    <w:rsid w:val="0022244F"/>
    <w:rsid w:val="00224CD3"/>
    <w:rsid w:val="0022775A"/>
    <w:rsid w:val="002302A1"/>
    <w:rsid w:val="0023122C"/>
    <w:rsid w:val="00232B6B"/>
    <w:rsid w:val="00235CA8"/>
    <w:rsid w:val="00236347"/>
    <w:rsid w:val="00244B78"/>
    <w:rsid w:val="00250E66"/>
    <w:rsid w:val="00251447"/>
    <w:rsid w:val="002520A0"/>
    <w:rsid w:val="0025651C"/>
    <w:rsid w:val="0025791C"/>
    <w:rsid w:val="00257C42"/>
    <w:rsid w:val="00260782"/>
    <w:rsid w:val="0026101F"/>
    <w:rsid w:val="002614B8"/>
    <w:rsid w:val="00273A9A"/>
    <w:rsid w:val="002741F3"/>
    <w:rsid w:val="002744FE"/>
    <w:rsid w:val="00277D2E"/>
    <w:rsid w:val="00280894"/>
    <w:rsid w:val="002820EA"/>
    <w:rsid w:val="00287D55"/>
    <w:rsid w:val="00292AD7"/>
    <w:rsid w:val="002A0A3D"/>
    <w:rsid w:val="002A0D46"/>
    <w:rsid w:val="002A240C"/>
    <w:rsid w:val="002A4150"/>
    <w:rsid w:val="002A7548"/>
    <w:rsid w:val="002B0AE9"/>
    <w:rsid w:val="002B142B"/>
    <w:rsid w:val="002B1A87"/>
    <w:rsid w:val="002B2E2F"/>
    <w:rsid w:val="002B4A6B"/>
    <w:rsid w:val="002B73E7"/>
    <w:rsid w:val="002D01BC"/>
    <w:rsid w:val="002D208D"/>
    <w:rsid w:val="002D282C"/>
    <w:rsid w:val="002D4098"/>
    <w:rsid w:val="002D46E3"/>
    <w:rsid w:val="002E0DAC"/>
    <w:rsid w:val="002E26A4"/>
    <w:rsid w:val="002E32B8"/>
    <w:rsid w:val="002E5B85"/>
    <w:rsid w:val="002F01C3"/>
    <w:rsid w:val="002F08BF"/>
    <w:rsid w:val="002F2208"/>
    <w:rsid w:val="002F6487"/>
    <w:rsid w:val="00301BAD"/>
    <w:rsid w:val="003069F7"/>
    <w:rsid w:val="00306D1E"/>
    <w:rsid w:val="00307FC6"/>
    <w:rsid w:val="00310C62"/>
    <w:rsid w:val="0031304A"/>
    <w:rsid w:val="00313412"/>
    <w:rsid w:val="003163AD"/>
    <w:rsid w:val="00316DBA"/>
    <w:rsid w:val="00316FEF"/>
    <w:rsid w:val="003174F2"/>
    <w:rsid w:val="00323F81"/>
    <w:rsid w:val="003259C0"/>
    <w:rsid w:val="00327CA9"/>
    <w:rsid w:val="00330093"/>
    <w:rsid w:val="00332446"/>
    <w:rsid w:val="0033423A"/>
    <w:rsid w:val="0033547E"/>
    <w:rsid w:val="00341225"/>
    <w:rsid w:val="00343021"/>
    <w:rsid w:val="003519C8"/>
    <w:rsid w:val="0035438D"/>
    <w:rsid w:val="00354633"/>
    <w:rsid w:val="00356C5D"/>
    <w:rsid w:val="003618EA"/>
    <w:rsid w:val="003633AC"/>
    <w:rsid w:val="00363F40"/>
    <w:rsid w:val="00365F1D"/>
    <w:rsid w:val="00370D12"/>
    <w:rsid w:val="00372D30"/>
    <w:rsid w:val="0037301A"/>
    <w:rsid w:val="003736BB"/>
    <w:rsid w:val="00373E9F"/>
    <w:rsid w:val="00376C0B"/>
    <w:rsid w:val="003778B3"/>
    <w:rsid w:val="00380148"/>
    <w:rsid w:val="00380772"/>
    <w:rsid w:val="00382893"/>
    <w:rsid w:val="00382CC6"/>
    <w:rsid w:val="00384AD9"/>
    <w:rsid w:val="00385C88"/>
    <w:rsid w:val="00394A26"/>
    <w:rsid w:val="00395D7A"/>
    <w:rsid w:val="003A1B76"/>
    <w:rsid w:val="003A684C"/>
    <w:rsid w:val="003A749D"/>
    <w:rsid w:val="003A786F"/>
    <w:rsid w:val="003B1098"/>
    <w:rsid w:val="003B4229"/>
    <w:rsid w:val="003C1A7E"/>
    <w:rsid w:val="003C7503"/>
    <w:rsid w:val="003D4081"/>
    <w:rsid w:val="003D45A2"/>
    <w:rsid w:val="003E16B4"/>
    <w:rsid w:val="003E293B"/>
    <w:rsid w:val="003E74FC"/>
    <w:rsid w:val="003F1563"/>
    <w:rsid w:val="003F17C8"/>
    <w:rsid w:val="003F3F69"/>
    <w:rsid w:val="003F4759"/>
    <w:rsid w:val="003F4C00"/>
    <w:rsid w:val="003F6982"/>
    <w:rsid w:val="00402312"/>
    <w:rsid w:val="00403B03"/>
    <w:rsid w:val="00411C19"/>
    <w:rsid w:val="004128D1"/>
    <w:rsid w:val="004136F4"/>
    <w:rsid w:val="00415D7C"/>
    <w:rsid w:val="00415DEE"/>
    <w:rsid w:val="00421403"/>
    <w:rsid w:val="004237BD"/>
    <w:rsid w:val="004243CF"/>
    <w:rsid w:val="00427846"/>
    <w:rsid w:val="00430176"/>
    <w:rsid w:val="0043203B"/>
    <w:rsid w:val="0043409B"/>
    <w:rsid w:val="00434F51"/>
    <w:rsid w:val="0043528A"/>
    <w:rsid w:val="004357C2"/>
    <w:rsid w:val="00435C9F"/>
    <w:rsid w:val="00436EA3"/>
    <w:rsid w:val="00442E03"/>
    <w:rsid w:val="00443874"/>
    <w:rsid w:val="00444F22"/>
    <w:rsid w:val="00447981"/>
    <w:rsid w:val="00451FED"/>
    <w:rsid w:val="0045405A"/>
    <w:rsid w:val="00454156"/>
    <w:rsid w:val="0045520C"/>
    <w:rsid w:val="00455964"/>
    <w:rsid w:val="00462345"/>
    <w:rsid w:val="00465D9C"/>
    <w:rsid w:val="004664D3"/>
    <w:rsid w:val="004702AE"/>
    <w:rsid w:val="00474BAA"/>
    <w:rsid w:val="004761EE"/>
    <w:rsid w:val="00476C56"/>
    <w:rsid w:val="00476CF9"/>
    <w:rsid w:val="00480247"/>
    <w:rsid w:val="00484C42"/>
    <w:rsid w:val="00486B1C"/>
    <w:rsid w:val="00486F90"/>
    <w:rsid w:val="00487AE4"/>
    <w:rsid w:val="00490A79"/>
    <w:rsid w:val="004911DF"/>
    <w:rsid w:val="00492750"/>
    <w:rsid w:val="00493AE7"/>
    <w:rsid w:val="004960C5"/>
    <w:rsid w:val="0049743E"/>
    <w:rsid w:val="004A0242"/>
    <w:rsid w:val="004A1414"/>
    <w:rsid w:val="004A1855"/>
    <w:rsid w:val="004A4D11"/>
    <w:rsid w:val="004A76B3"/>
    <w:rsid w:val="004A7E82"/>
    <w:rsid w:val="004B0892"/>
    <w:rsid w:val="004B61D0"/>
    <w:rsid w:val="004B6694"/>
    <w:rsid w:val="004C1D4B"/>
    <w:rsid w:val="004C2386"/>
    <w:rsid w:val="004C26F0"/>
    <w:rsid w:val="004C49A2"/>
    <w:rsid w:val="004C6C72"/>
    <w:rsid w:val="004C7B38"/>
    <w:rsid w:val="004D3568"/>
    <w:rsid w:val="004D64CC"/>
    <w:rsid w:val="004D66FC"/>
    <w:rsid w:val="004E0512"/>
    <w:rsid w:val="004E1DE2"/>
    <w:rsid w:val="004E3B56"/>
    <w:rsid w:val="004E5414"/>
    <w:rsid w:val="004F216A"/>
    <w:rsid w:val="004F3373"/>
    <w:rsid w:val="004F79E2"/>
    <w:rsid w:val="00502B1F"/>
    <w:rsid w:val="00502C3D"/>
    <w:rsid w:val="005039C7"/>
    <w:rsid w:val="005061D3"/>
    <w:rsid w:val="00506EE4"/>
    <w:rsid w:val="005102B4"/>
    <w:rsid w:val="00512981"/>
    <w:rsid w:val="00513331"/>
    <w:rsid w:val="00514016"/>
    <w:rsid w:val="00516813"/>
    <w:rsid w:val="00524BA7"/>
    <w:rsid w:val="005251D0"/>
    <w:rsid w:val="00533CE1"/>
    <w:rsid w:val="00535C5B"/>
    <w:rsid w:val="00541A76"/>
    <w:rsid w:val="00542BB7"/>
    <w:rsid w:val="005507C8"/>
    <w:rsid w:val="00554667"/>
    <w:rsid w:val="00554C09"/>
    <w:rsid w:val="00557881"/>
    <w:rsid w:val="00557884"/>
    <w:rsid w:val="0056253F"/>
    <w:rsid w:val="00565F65"/>
    <w:rsid w:val="0056764D"/>
    <w:rsid w:val="00577EA5"/>
    <w:rsid w:val="005804E9"/>
    <w:rsid w:val="00581579"/>
    <w:rsid w:val="00583A3A"/>
    <w:rsid w:val="005868A0"/>
    <w:rsid w:val="00587013"/>
    <w:rsid w:val="00587D14"/>
    <w:rsid w:val="005909A4"/>
    <w:rsid w:val="0059460D"/>
    <w:rsid w:val="00594718"/>
    <w:rsid w:val="00596374"/>
    <w:rsid w:val="005A1957"/>
    <w:rsid w:val="005B5292"/>
    <w:rsid w:val="005C18AB"/>
    <w:rsid w:val="005C2D1E"/>
    <w:rsid w:val="005C3D6F"/>
    <w:rsid w:val="005C4B18"/>
    <w:rsid w:val="005C59C4"/>
    <w:rsid w:val="005D1FEF"/>
    <w:rsid w:val="005D21AB"/>
    <w:rsid w:val="005D479B"/>
    <w:rsid w:val="005D704C"/>
    <w:rsid w:val="005E0486"/>
    <w:rsid w:val="005E1C34"/>
    <w:rsid w:val="005E7B52"/>
    <w:rsid w:val="005E7B9F"/>
    <w:rsid w:val="005F2A7E"/>
    <w:rsid w:val="00601F63"/>
    <w:rsid w:val="00602AC2"/>
    <w:rsid w:val="0061006B"/>
    <w:rsid w:val="00617F42"/>
    <w:rsid w:val="00620A81"/>
    <w:rsid w:val="00622A90"/>
    <w:rsid w:val="006230C5"/>
    <w:rsid w:val="00625866"/>
    <w:rsid w:val="00625BEE"/>
    <w:rsid w:val="00626C56"/>
    <w:rsid w:val="0063090F"/>
    <w:rsid w:val="00630E28"/>
    <w:rsid w:val="00631C70"/>
    <w:rsid w:val="00632B31"/>
    <w:rsid w:val="00641D1C"/>
    <w:rsid w:val="006440EE"/>
    <w:rsid w:val="006459A6"/>
    <w:rsid w:val="00651862"/>
    <w:rsid w:val="00673061"/>
    <w:rsid w:val="00673DF8"/>
    <w:rsid w:val="00680B3A"/>
    <w:rsid w:val="006837AD"/>
    <w:rsid w:val="00684025"/>
    <w:rsid w:val="00685A31"/>
    <w:rsid w:val="00690EB2"/>
    <w:rsid w:val="00691EF6"/>
    <w:rsid w:val="00693BEE"/>
    <w:rsid w:val="00695FC8"/>
    <w:rsid w:val="006A4408"/>
    <w:rsid w:val="006A48E6"/>
    <w:rsid w:val="006B0DBF"/>
    <w:rsid w:val="006B2289"/>
    <w:rsid w:val="006B260E"/>
    <w:rsid w:val="006B3F3C"/>
    <w:rsid w:val="006B76CC"/>
    <w:rsid w:val="006B7812"/>
    <w:rsid w:val="006C2AAC"/>
    <w:rsid w:val="006C380C"/>
    <w:rsid w:val="006C5B5E"/>
    <w:rsid w:val="006D470F"/>
    <w:rsid w:val="006D47BD"/>
    <w:rsid w:val="006D4DED"/>
    <w:rsid w:val="006E2671"/>
    <w:rsid w:val="006F72C9"/>
    <w:rsid w:val="006F76EB"/>
    <w:rsid w:val="00700FB4"/>
    <w:rsid w:val="007012D9"/>
    <w:rsid w:val="00706E37"/>
    <w:rsid w:val="00710197"/>
    <w:rsid w:val="00710A9D"/>
    <w:rsid w:val="00710D0B"/>
    <w:rsid w:val="00712D85"/>
    <w:rsid w:val="007140D3"/>
    <w:rsid w:val="00714F62"/>
    <w:rsid w:val="007160E0"/>
    <w:rsid w:val="00720E05"/>
    <w:rsid w:val="00727056"/>
    <w:rsid w:val="00727EEE"/>
    <w:rsid w:val="007352DC"/>
    <w:rsid w:val="00736979"/>
    <w:rsid w:val="007405BE"/>
    <w:rsid w:val="007420B6"/>
    <w:rsid w:val="007443F3"/>
    <w:rsid w:val="0074637B"/>
    <w:rsid w:val="00751F5F"/>
    <w:rsid w:val="0075682E"/>
    <w:rsid w:val="00761E90"/>
    <w:rsid w:val="007622EB"/>
    <w:rsid w:val="00770663"/>
    <w:rsid w:val="00771F97"/>
    <w:rsid w:val="00775931"/>
    <w:rsid w:val="00776497"/>
    <w:rsid w:val="007803C0"/>
    <w:rsid w:val="00783310"/>
    <w:rsid w:val="00784752"/>
    <w:rsid w:val="00785CA8"/>
    <w:rsid w:val="007909E8"/>
    <w:rsid w:val="00790A17"/>
    <w:rsid w:val="0079270C"/>
    <w:rsid w:val="007955A9"/>
    <w:rsid w:val="00797722"/>
    <w:rsid w:val="007A09F4"/>
    <w:rsid w:val="007A1FFE"/>
    <w:rsid w:val="007A25B5"/>
    <w:rsid w:val="007A5B5A"/>
    <w:rsid w:val="007A5C81"/>
    <w:rsid w:val="007A6217"/>
    <w:rsid w:val="007A64EB"/>
    <w:rsid w:val="007B07FB"/>
    <w:rsid w:val="007B0B27"/>
    <w:rsid w:val="007B1A9C"/>
    <w:rsid w:val="007B2F50"/>
    <w:rsid w:val="007B333B"/>
    <w:rsid w:val="007C02E9"/>
    <w:rsid w:val="007C4DCB"/>
    <w:rsid w:val="007C7E75"/>
    <w:rsid w:val="007D1ACD"/>
    <w:rsid w:val="007D6686"/>
    <w:rsid w:val="007D70F7"/>
    <w:rsid w:val="007D75A5"/>
    <w:rsid w:val="007E54E0"/>
    <w:rsid w:val="007F72DF"/>
    <w:rsid w:val="007F7925"/>
    <w:rsid w:val="00807952"/>
    <w:rsid w:val="00810ED8"/>
    <w:rsid w:val="00811364"/>
    <w:rsid w:val="00816255"/>
    <w:rsid w:val="00820DE0"/>
    <w:rsid w:val="008236A3"/>
    <w:rsid w:val="00823F70"/>
    <w:rsid w:val="0083163A"/>
    <w:rsid w:val="00831F9E"/>
    <w:rsid w:val="008336E4"/>
    <w:rsid w:val="00833918"/>
    <w:rsid w:val="00836121"/>
    <w:rsid w:val="00836339"/>
    <w:rsid w:val="00837269"/>
    <w:rsid w:val="00842859"/>
    <w:rsid w:val="00844921"/>
    <w:rsid w:val="00846283"/>
    <w:rsid w:val="00847323"/>
    <w:rsid w:val="00852B4F"/>
    <w:rsid w:val="00853289"/>
    <w:rsid w:val="00853D54"/>
    <w:rsid w:val="008578A4"/>
    <w:rsid w:val="00863067"/>
    <w:rsid w:val="008661FC"/>
    <w:rsid w:val="00867104"/>
    <w:rsid w:val="00867533"/>
    <w:rsid w:val="00871359"/>
    <w:rsid w:val="00872977"/>
    <w:rsid w:val="008736B8"/>
    <w:rsid w:val="00876109"/>
    <w:rsid w:val="00876288"/>
    <w:rsid w:val="00880190"/>
    <w:rsid w:val="00880862"/>
    <w:rsid w:val="00881233"/>
    <w:rsid w:val="008839B1"/>
    <w:rsid w:val="008843C6"/>
    <w:rsid w:val="00886D01"/>
    <w:rsid w:val="00891C67"/>
    <w:rsid w:val="00894C4D"/>
    <w:rsid w:val="00897507"/>
    <w:rsid w:val="008A0B03"/>
    <w:rsid w:val="008A1480"/>
    <w:rsid w:val="008A5438"/>
    <w:rsid w:val="008A5C9A"/>
    <w:rsid w:val="008A7ABC"/>
    <w:rsid w:val="008B41C7"/>
    <w:rsid w:val="008B52EC"/>
    <w:rsid w:val="008B66C9"/>
    <w:rsid w:val="008B6792"/>
    <w:rsid w:val="008B6CE3"/>
    <w:rsid w:val="008B6EE7"/>
    <w:rsid w:val="008C386C"/>
    <w:rsid w:val="008C6234"/>
    <w:rsid w:val="008C717A"/>
    <w:rsid w:val="008D27FA"/>
    <w:rsid w:val="008D431D"/>
    <w:rsid w:val="008D46E3"/>
    <w:rsid w:val="008D4DEC"/>
    <w:rsid w:val="008E1E5E"/>
    <w:rsid w:val="008F5996"/>
    <w:rsid w:val="009001B8"/>
    <w:rsid w:val="009020F8"/>
    <w:rsid w:val="00902E40"/>
    <w:rsid w:val="00903AB2"/>
    <w:rsid w:val="00903EF6"/>
    <w:rsid w:val="00904DA2"/>
    <w:rsid w:val="00913F14"/>
    <w:rsid w:val="009224D7"/>
    <w:rsid w:val="00922FB4"/>
    <w:rsid w:val="00924945"/>
    <w:rsid w:val="00925C0D"/>
    <w:rsid w:val="0092681D"/>
    <w:rsid w:val="009307EC"/>
    <w:rsid w:val="009314B2"/>
    <w:rsid w:val="00933CC7"/>
    <w:rsid w:val="009347AF"/>
    <w:rsid w:val="009377E7"/>
    <w:rsid w:val="00937B38"/>
    <w:rsid w:val="00940288"/>
    <w:rsid w:val="00940B7F"/>
    <w:rsid w:val="00940DC6"/>
    <w:rsid w:val="009445F6"/>
    <w:rsid w:val="00945B1F"/>
    <w:rsid w:val="00946B84"/>
    <w:rsid w:val="009475BD"/>
    <w:rsid w:val="00951075"/>
    <w:rsid w:val="00953B26"/>
    <w:rsid w:val="00954385"/>
    <w:rsid w:val="0095687B"/>
    <w:rsid w:val="00957C61"/>
    <w:rsid w:val="00961E8A"/>
    <w:rsid w:val="00963DA4"/>
    <w:rsid w:val="00966989"/>
    <w:rsid w:val="00971CD0"/>
    <w:rsid w:val="009802A0"/>
    <w:rsid w:val="0098271F"/>
    <w:rsid w:val="00982F6E"/>
    <w:rsid w:val="00984CF2"/>
    <w:rsid w:val="009856B1"/>
    <w:rsid w:val="00985BE3"/>
    <w:rsid w:val="009906A0"/>
    <w:rsid w:val="00991494"/>
    <w:rsid w:val="009939C6"/>
    <w:rsid w:val="0099647E"/>
    <w:rsid w:val="009B21A7"/>
    <w:rsid w:val="009B5324"/>
    <w:rsid w:val="009C25C9"/>
    <w:rsid w:val="009C6117"/>
    <w:rsid w:val="009D1857"/>
    <w:rsid w:val="009D3958"/>
    <w:rsid w:val="009D61CD"/>
    <w:rsid w:val="009D7947"/>
    <w:rsid w:val="009E121C"/>
    <w:rsid w:val="009E197F"/>
    <w:rsid w:val="009E4CDF"/>
    <w:rsid w:val="009E57BF"/>
    <w:rsid w:val="009F2CD3"/>
    <w:rsid w:val="009F302E"/>
    <w:rsid w:val="009F6068"/>
    <w:rsid w:val="00A00E1F"/>
    <w:rsid w:val="00A04561"/>
    <w:rsid w:val="00A05166"/>
    <w:rsid w:val="00A11A6B"/>
    <w:rsid w:val="00A1222D"/>
    <w:rsid w:val="00A16A1F"/>
    <w:rsid w:val="00A16D76"/>
    <w:rsid w:val="00A231CA"/>
    <w:rsid w:val="00A242FA"/>
    <w:rsid w:val="00A3071D"/>
    <w:rsid w:val="00A31499"/>
    <w:rsid w:val="00A333A1"/>
    <w:rsid w:val="00A374FF"/>
    <w:rsid w:val="00A41912"/>
    <w:rsid w:val="00A42542"/>
    <w:rsid w:val="00A42720"/>
    <w:rsid w:val="00A47C42"/>
    <w:rsid w:val="00A535FA"/>
    <w:rsid w:val="00A53EC2"/>
    <w:rsid w:val="00A613A4"/>
    <w:rsid w:val="00A62566"/>
    <w:rsid w:val="00A722A6"/>
    <w:rsid w:val="00A75A4F"/>
    <w:rsid w:val="00A771F6"/>
    <w:rsid w:val="00A96F00"/>
    <w:rsid w:val="00AA59EB"/>
    <w:rsid w:val="00AA5F43"/>
    <w:rsid w:val="00AB00AB"/>
    <w:rsid w:val="00AB3346"/>
    <w:rsid w:val="00AB3B6B"/>
    <w:rsid w:val="00AB6079"/>
    <w:rsid w:val="00AB6EC1"/>
    <w:rsid w:val="00AB780C"/>
    <w:rsid w:val="00AC0226"/>
    <w:rsid w:val="00AC4443"/>
    <w:rsid w:val="00AC47D7"/>
    <w:rsid w:val="00AC5AB4"/>
    <w:rsid w:val="00AC5AE4"/>
    <w:rsid w:val="00AC63A2"/>
    <w:rsid w:val="00AC6428"/>
    <w:rsid w:val="00AD28AC"/>
    <w:rsid w:val="00AD4C5E"/>
    <w:rsid w:val="00AD63A4"/>
    <w:rsid w:val="00AD63E9"/>
    <w:rsid w:val="00AE306D"/>
    <w:rsid w:val="00AE38F0"/>
    <w:rsid w:val="00AF03D6"/>
    <w:rsid w:val="00AF092F"/>
    <w:rsid w:val="00AF4D95"/>
    <w:rsid w:val="00B0097D"/>
    <w:rsid w:val="00B04AD0"/>
    <w:rsid w:val="00B056CA"/>
    <w:rsid w:val="00B13501"/>
    <w:rsid w:val="00B1565B"/>
    <w:rsid w:val="00B1685F"/>
    <w:rsid w:val="00B22CC1"/>
    <w:rsid w:val="00B2518B"/>
    <w:rsid w:val="00B259E5"/>
    <w:rsid w:val="00B266E1"/>
    <w:rsid w:val="00B3200A"/>
    <w:rsid w:val="00B3217D"/>
    <w:rsid w:val="00B34C90"/>
    <w:rsid w:val="00B3622F"/>
    <w:rsid w:val="00B436D5"/>
    <w:rsid w:val="00B462CD"/>
    <w:rsid w:val="00B51138"/>
    <w:rsid w:val="00B545C0"/>
    <w:rsid w:val="00B54AB1"/>
    <w:rsid w:val="00B55914"/>
    <w:rsid w:val="00B57C00"/>
    <w:rsid w:val="00B61E73"/>
    <w:rsid w:val="00B62C8C"/>
    <w:rsid w:val="00B64C2C"/>
    <w:rsid w:val="00B73869"/>
    <w:rsid w:val="00B74291"/>
    <w:rsid w:val="00B749FD"/>
    <w:rsid w:val="00B75518"/>
    <w:rsid w:val="00B8787F"/>
    <w:rsid w:val="00B915E6"/>
    <w:rsid w:val="00B91E1C"/>
    <w:rsid w:val="00B91EDE"/>
    <w:rsid w:val="00B939E6"/>
    <w:rsid w:val="00B9742B"/>
    <w:rsid w:val="00BA03C5"/>
    <w:rsid w:val="00BA331B"/>
    <w:rsid w:val="00BA3945"/>
    <w:rsid w:val="00BA4BB0"/>
    <w:rsid w:val="00BA56DC"/>
    <w:rsid w:val="00BA7536"/>
    <w:rsid w:val="00BA7FB9"/>
    <w:rsid w:val="00BC12D3"/>
    <w:rsid w:val="00BC5F81"/>
    <w:rsid w:val="00BC628D"/>
    <w:rsid w:val="00BC6499"/>
    <w:rsid w:val="00BC6E6E"/>
    <w:rsid w:val="00BC6EA3"/>
    <w:rsid w:val="00BD1B44"/>
    <w:rsid w:val="00BD2E1B"/>
    <w:rsid w:val="00BD42EF"/>
    <w:rsid w:val="00BD770F"/>
    <w:rsid w:val="00BE23F4"/>
    <w:rsid w:val="00BE37CA"/>
    <w:rsid w:val="00BE4661"/>
    <w:rsid w:val="00BE4ED0"/>
    <w:rsid w:val="00BF46D3"/>
    <w:rsid w:val="00C0300A"/>
    <w:rsid w:val="00C043AA"/>
    <w:rsid w:val="00C04465"/>
    <w:rsid w:val="00C0722C"/>
    <w:rsid w:val="00C07A5E"/>
    <w:rsid w:val="00C120DF"/>
    <w:rsid w:val="00C23094"/>
    <w:rsid w:val="00C244CA"/>
    <w:rsid w:val="00C25E5B"/>
    <w:rsid w:val="00C266D9"/>
    <w:rsid w:val="00C274F5"/>
    <w:rsid w:val="00C314F6"/>
    <w:rsid w:val="00C34703"/>
    <w:rsid w:val="00C36C71"/>
    <w:rsid w:val="00C40BA1"/>
    <w:rsid w:val="00C41FD2"/>
    <w:rsid w:val="00C42D64"/>
    <w:rsid w:val="00C46E88"/>
    <w:rsid w:val="00C504B0"/>
    <w:rsid w:val="00C52F45"/>
    <w:rsid w:val="00C63D83"/>
    <w:rsid w:val="00C664A2"/>
    <w:rsid w:val="00C66627"/>
    <w:rsid w:val="00C67E79"/>
    <w:rsid w:val="00C704B4"/>
    <w:rsid w:val="00C73F34"/>
    <w:rsid w:val="00C75AAE"/>
    <w:rsid w:val="00C80462"/>
    <w:rsid w:val="00C8398A"/>
    <w:rsid w:val="00C84447"/>
    <w:rsid w:val="00C8683C"/>
    <w:rsid w:val="00C9271F"/>
    <w:rsid w:val="00C92B6E"/>
    <w:rsid w:val="00C9385F"/>
    <w:rsid w:val="00C978C0"/>
    <w:rsid w:val="00CA2C0F"/>
    <w:rsid w:val="00CA2C23"/>
    <w:rsid w:val="00CA41BD"/>
    <w:rsid w:val="00CA5D90"/>
    <w:rsid w:val="00CA5F7F"/>
    <w:rsid w:val="00CB155C"/>
    <w:rsid w:val="00CB53C4"/>
    <w:rsid w:val="00CB591F"/>
    <w:rsid w:val="00CB6C02"/>
    <w:rsid w:val="00CB7AC9"/>
    <w:rsid w:val="00CC138C"/>
    <w:rsid w:val="00CC1BA9"/>
    <w:rsid w:val="00CC2C8F"/>
    <w:rsid w:val="00CC2D20"/>
    <w:rsid w:val="00CC65CE"/>
    <w:rsid w:val="00CC6961"/>
    <w:rsid w:val="00CD1088"/>
    <w:rsid w:val="00CD23CF"/>
    <w:rsid w:val="00CD25A3"/>
    <w:rsid w:val="00CE1F76"/>
    <w:rsid w:val="00CE39D4"/>
    <w:rsid w:val="00CE7676"/>
    <w:rsid w:val="00CE7910"/>
    <w:rsid w:val="00CE7F3A"/>
    <w:rsid w:val="00CF499C"/>
    <w:rsid w:val="00D023A4"/>
    <w:rsid w:val="00D04D62"/>
    <w:rsid w:val="00D05DF8"/>
    <w:rsid w:val="00D1146E"/>
    <w:rsid w:val="00D13C86"/>
    <w:rsid w:val="00D151EC"/>
    <w:rsid w:val="00D17266"/>
    <w:rsid w:val="00D27C1D"/>
    <w:rsid w:val="00D30E0B"/>
    <w:rsid w:val="00D341FE"/>
    <w:rsid w:val="00D357E3"/>
    <w:rsid w:val="00D36201"/>
    <w:rsid w:val="00D3623B"/>
    <w:rsid w:val="00D3707D"/>
    <w:rsid w:val="00D43BF3"/>
    <w:rsid w:val="00D56288"/>
    <w:rsid w:val="00D6005A"/>
    <w:rsid w:val="00D75C76"/>
    <w:rsid w:val="00D76011"/>
    <w:rsid w:val="00D823EB"/>
    <w:rsid w:val="00D87700"/>
    <w:rsid w:val="00D912F7"/>
    <w:rsid w:val="00D9610C"/>
    <w:rsid w:val="00D96D8D"/>
    <w:rsid w:val="00DA0E04"/>
    <w:rsid w:val="00DA1C7C"/>
    <w:rsid w:val="00DA712D"/>
    <w:rsid w:val="00DA7308"/>
    <w:rsid w:val="00DB208F"/>
    <w:rsid w:val="00DC25FA"/>
    <w:rsid w:val="00DD0ADB"/>
    <w:rsid w:val="00DD3071"/>
    <w:rsid w:val="00DD3EF5"/>
    <w:rsid w:val="00DD4D2C"/>
    <w:rsid w:val="00DD57A6"/>
    <w:rsid w:val="00DE06D1"/>
    <w:rsid w:val="00DE106D"/>
    <w:rsid w:val="00DE203E"/>
    <w:rsid w:val="00DE4542"/>
    <w:rsid w:val="00DE4D2E"/>
    <w:rsid w:val="00DE584B"/>
    <w:rsid w:val="00DF0626"/>
    <w:rsid w:val="00DF0D2C"/>
    <w:rsid w:val="00DF6389"/>
    <w:rsid w:val="00DF6552"/>
    <w:rsid w:val="00DF70D4"/>
    <w:rsid w:val="00E00577"/>
    <w:rsid w:val="00E03463"/>
    <w:rsid w:val="00E06505"/>
    <w:rsid w:val="00E106AB"/>
    <w:rsid w:val="00E11A36"/>
    <w:rsid w:val="00E15FDC"/>
    <w:rsid w:val="00E16607"/>
    <w:rsid w:val="00E2125C"/>
    <w:rsid w:val="00E22417"/>
    <w:rsid w:val="00E25671"/>
    <w:rsid w:val="00E2798B"/>
    <w:rsid w:val="00E321F2"/>
    <w:rsid w:val="00E33DA2"/>
    <w:rsid w:val="00E34A2E"/>
    <w:rsid w:val="00E42294"/>
    <w:rsid w:val="00E429AA"/>
    <w:rsid w:val="00E44CAC"/>
    <w:rsid w:val="00E4507F"/>
    <w:rsid w:val="00E45A9D"/>
    <w:rsid w:val="00E46499"/>
    <w:rsid w:val="00E468DA"/>
    <w:rsid w:val="00E47EFC"/>
    <w:rsid w:val="00E505A6"/>
    <w:rsid w:val="00E5549D"/>
    <w:rsid w:val="00E66166"/>
    <w:rsid w:val="00E71A71"/>
    <w:rsid w:val="00E75E7C"/>
    <w:rsid w:val="00E7667F"/>
    <w:rsid w:val="00E830D1"/>
    <w:rsid w:val="00E8636D"/>
    <w:rsid w:val="00E9048D"/>
    <w:rsid w:val="00E91CCE"/>
    <w:rsid w:val="00E92B7C"/>
    <w:rsid w:val="00E9399F"/>
    <w:rsid w:val="00E93B00"/>
    <w:rsid w:val="00E96F47"/>
    <w:rsid w:val="00EA289C"/>
    <w:rsid w:val="00EA29EB"/>
    <w:rsid w:val="00EA3CC2"/>
    <w:rsid w:val="00EA5ADE"/>
    <w:rsid w:val="00EB1559"/>
    <w:rsid w:val="00EB609F"/>
    <w:rsid w:val="00EC3E92"/>
    <w:rsid w:val="00EC4CA5"/>
    <w:rsid w:val="00EC7859"/>
    <w:rsid w:val="00EC798E"/>
    <w:rsid w:val="00ED1AA4"/>
    <w:rsid w:val="00ED2D46"/>
    <w:rsid w:val="00ED6DD9"/>
    <w:rsid w:val="00EE1DCA"/>
    <w:rsid w:val="00EE652D"/>
    <w:rsid w:val="00EE715E"/>
    <w:rsid w:val="00EF3B18"/>
    <w:rsid w:val="00F01203"/>
    <w:rsid w:val="00F017C8"/>
    <w:rsid w:val="00F0284B"/>
    <w:rsid w:val="00F04D59"/>
    <w:rsid w:val="00F04DAA"/>
    <w:rsid w:val="00F06B1C"/>
    <w:rsid w:val="00F079E1"/>
    <w:rsid w:val="00F07A0A"/>
    <w:rsid w:val="00F121BE"/>
    <w:rsid w:val="00F13EC3"/>
    <w:rsid w:val="00F2162F"/>
    <w:rsid w:val="00F232F4"/>
    <w:rsid w:val="00F26D88"/>
    <w:rsid w:val="00F30871"/>
    <w:rsid w:val="00F31194"/>
    <w:rsid w:val="00F33DC8"/>
    <w:rsid w:val="00F37021"/>
    <w:rsid w:val="00F40B2E"/>
    <w:rsid w:val="00F43C71"/>
    <w:rsid w:val="00F45069"/>
    <w:rsid w:val="00F46AF9"/>
    <w:rsid w:val="00F548C4"/>
    <w:rsid w:val="00F56403"/>
    <w:rsid w:val="00F61C46"/>
    <w:rsid w:val="00F63395"/>
    <w:rsid w:val="00F634F5"/>
    <w:rsid w:val="00F64258"/>
    <w:rsid w:val="00F67069"/>
    <w:rsid w:val="00F6779A"/>
    <w:rsid w:val="00F73132"/>
    <w:rsid w:val="00F74DF6"/>
    <w:rsid w:val="00F7758A"/>
    <w:rsid w:val="00F80B22"/>
    <w:rsid w:val="00F826E4"/>
    <w:rsid w:val="00F82CEC"/>
    <w:rsid w:val="00FA272E"/>
    <w:rsid w:val="00FA2FA1"/>
    <w:rsid w:val="00FA5D8C"/>
    <w:rsid w:val="00FA5FD4"/>
    <w:rsid w:val="00FA60BD"/>
    <w:rsid w:val="00FA6B62"/>
    <w:rsid w:val="00FA7C1F"/>
    <w:rsid w:val="00FB03CA"/>
    <w:rsid w:val="00FB0B33"/>
    <w:rsid w:val="00FB1598"/>
    <w:rsid w:val="00FB324F"/>
    <w:rsid w:val="00FB619F"/>
    <w:rsid w:val="00FC6D29"/>
    <w:rsid w:val="00FC70A0"/>
    <w:rsid w:val="00FD0BA3"/>
    <w:rsid w:val="00FD1D59"/>
    <w:rsid w:val="00FD2710"/>
    <w:rsid w:val="00FD556B"/>
    <w:rsid w:val="00FE159E"/>
    <w:rsid w:val="00FE2277"/>
    <w:rsid w:val="00FE6F8F"/>
    <w:rsid w:val="00FE78A8"/>
    <w:rsid w:val="00FF0EE4"/>
    <w:rsid w:val="00FF39CC"/>
    <w:rsid w:val="00FF62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D57E3C"/>
  <w14:defaultImageDpi w14:val="32767"/>
  <w15:chartTrackingRefBased/>
  <w15:docId w15:val="{26BB48F7-1FB3-A941-BB6D-F5910EB6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2542"/>
    <w:rPr>
      <w:rFonts w:ascii="Times New Roman" w:eastAsia="Times New Roman" w:hAnsi="Times New Roman"/>
      <w:sz w:val="24"/>
      <w:szCs w:val="24"/>
    </w:rPr>
  </w:style>
  <w:style w:type="paragraph" w:styleId="Ttulo3">
    <w:name w:val="heading 3"/>
    <w:basedOn w:val="Normal"/>
    <w:next w:val="Normal"/>
    <w:link w:val="Ttulo3Car"/>
    <w:qFormat/>
    <w:rsid w:val="002741F3"/>
    <w:pPr>
      <w:keepNext/>
      <w:outlineLvl w:val="2"/>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2741F3"/>
    <w:rPr>
      <w:rFonts w:ascii="Times New Roman" w:eastAsia="Times New Roman" w:hAnsi="Times New Roman" w:cs="Times New Roman"/>
      <w:szCs w:val="20"/>
      <w:lang w:eastAsia="es-ES"/>
    </w:rPr>
  </w:style>
  <w:style w:type="character" w:styleId="nfasis">
    <w:name w:val="Emphasis"/>
    <w:uiPriority w:val="20"/>
    <w:qFormat/>
    <w:rsid w:val="00784752"/>
    <w:rPr>
      <w:i/>
      <w:iC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 Car Car Car"/>
    <w:basedOn w:val="Normal"/>
    <w:link w:val="TextonotapieCar"/>
    <w:unhideWhenUsed/>
    <w:rsid w:val="00221D9E"/>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link w:val="Textonotapie"/>
    <w:rsid w:val="00221D9E"/>
    <w:rPr>
      <w:rFonts w:ascii="Times New Roman" w:eastAsia="Times New Roman" w:hAnsi="Times New Roman"/>
      <w:lang w:val="es-ES" w:eastAsia="es-ES"/>
    </w:rPr>
  </w:style>
  <w:style w:type="character" w:styleId="Refdenotaalpie">
    <w:name w:val="footnote reference"/>
    <w:aliases w:val="Ref,de nota al pie,FC,Appel note de bas de p,Ref. de nota al pie 2,Pie de Página,Appel note de bas de page,Footnotes refss,Footnote number,referencia nota al pie,BVI fnr,f,4_G,16 Point,Superscript 6 Point,Texto nota al pie"/>
    <w:unhideWhenUsed/>
    <w:rsid w:val="00221D9E"/>
    <w:rPr>
      <w:vertAlign w:val="superscript"/>
    </w:rPr>
  </w:style>
  <w:style w:type="paragraph" w:customStyle="1" w:styleId="n2">
    <w:name w:val="n2"/>
    <w:basedOn w:val="Normal"/>
    <w:rsid w:val="00A42542"/>
    <w:pPr>
      <w:spacing w:before="100" w:beforeAutospacing="1" w:after="100" w:afterAutospacing="1"/>
    </w:pPr>
  </w:style>
  <w:style w:type="character" w:customStyle="1" w:styleId="apple-converted-space">
    <w:name w:val="apple-converted-space"/>
    <w:rsid w:val="00A42542"/>
  </w:style>
  <w:style w:type="paragraph" w:customStyle="1" w:styleId="j">
    <w:name w:val="j"/>
    <w:basedOn w:val="Normal"/>
    <w:rsid w:val="00A42542"/>
    <w:pPr>
      <w:spacing w:before="100" w:beforeAutospacing="1" w:after="100" w:afterAutospacing="1"/>
    </w:pPr>
  </w:style>
  <w:style w:type="character" w:customStyle="1" w:styleId="nacep">
    <w:name w:val="n_acep"/>
    <w:rsid w:val="00A42542"/>
  </w:style>
  <w:style w:type="character" w:customStyle="1" w:styleId="h">
    <w:name w:val="h"/>
    <w:rsid w:val="00A42542"/>
  </w:style>
  <w:style w:type="paragraph" w:customStyle="1" w:styleId="j1">
    <w:name w:val="j1"/>
    <w:basedOn w:val="Normal"/>
    <w:rsid w:val="00A42542"/>
    <w:pPr>
      <w:spacing w:before="100" w:beforeAutospacing="1" w:after="100" w:afterAutospacing="1"/>
    </w:pPr>
  </w:style>
  <w:style w:type="character" w:styleId="Hipervnculo">
    <w:name w:val="Hyperlink"/>
    <w:uiPriority w:val="99"/>
    <w:semiHidden/>
    <w:unhideWhenUsed/>
    <w:rsid w:val="00A42542"/>
    <w:rPr>
      <w:color w:val="0000FF"/>
      <w:u w:val="single"/>
    </w:rPr>
  </w:style>
  <w:style w:type="paragraph" w:customStyle="1" w:styleId="j2">
    <w:name w:val="j2"/>
    <w:basedOn w:val="Normal"/>
    <w:rsid w:val="00A42542"/>
    <w:pPr>
      <w:spacing w:before="100" w:beforeAutospacing="1" w:after="100" w:afterAutospacing="1"/>
    </w:pPr>
  </w:style>
  <w:style w:type="paragraph" w:styleId="Encabezado">
    <w:name w:val="header"/>
    <w:basedOn w:val="Normal"/>
    <w:link w:val="EncabezadoCar"/>
    <w:uiPriority w:val="99"/>
    <w:unhideWhenUsed/>
    <w:rsid w:val="00BE37CA"/>
    <w:pPr>
      <w:tabs>
        <w:tab w:val="center" w:pos="4419"/>
        <w:tab w:val="right" w:pos="8838"/>
      </w:tabs>
    </w:pPr>
  </w:style>
  <w:style w:type="character" w:customStyle="1" w:styleId="EncabezadoCar">
    <w:name w:val="Encabezado Car"/>
    <w:link w:val="Encabezado"/>
    <w:uiPriority w:val="99"/>
    <w:rsid w:val="00BE37CA"/>
    <w:rPr>
      <w:rFonts w:ascii="Times New Roman" w:eastAsia="Times New Roman" w:hAnsi="Times New Roman"/>
      <w:sz w:val="24"/>
      <w:szCs w:val="24"/>
    </w:rPr>
  </w:style>
  <w:style w:type="paragraph" w:styleId="Piedepgina">
    <w:name w:val="footer"/>
    <w:basedOn w:val="Normal"/>
    <w:link w:val="PiedepginaCar"/>
    <w:uiPriority w:val="99"/>
    <w:unhideWhenUsed/>
    <w:rsid w:val="00BE37CA"/>
    <w:pPr>
      <w:tabs>
        <w:tab w:val="center" w:pos="4419"/>
        <w:tab w:val="right" w:pos="8838"/>
      </w:tabs>
    </w:pPr>
  </w:style>
  <w:style w:type="character" w:customStyle="1" w:styleId="PiedepginaCar">
    <w:name w:val="Pie de página Car"/>
    <w:link w:val="Piedepgina"/>
    <w:uiPriority w:val="99"/>
    <w:rsid w:val="00BE37CA"/>
    <w:rPr>
      <w:rFonts w:ascii="Times New Roman" w:eastAsia="Times New Roman" w:hAnsi="Times New Roman"/>
      <w:sz w:val="24"/>
      <w:szCs w:val="24"/>
    </w:rPr>
  </w:style>
  <w:style w:type="character" w:styleId="Nmerodepgina">
    <w:name w:val="page number"/>
    <w:uiPriority w:val="99"/>
    <w:semiHidden/>
    <w:unhideWhenUsed/>
    <w:rsid w:val="00BE37CA"/>
  </w:style>
  <w:style w:type="paragraph" w:styleId="Prrafodelista">
    <w:name w:val="List Paragraph"/>
    <w:basedOn w:val="Normal"/>
    <w:uiPriority w:val="34"/>
    <w:qFormat/>
    <w:rsid w:val="00D96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755096">
      <w:bodyDiv w:val="1"/>
      <w:marLeft w:val="0"/>
      <w:marRight w:val="0"/>
      <w:marTop w:val="0"/>
      <w:marBottom w:val="0"/>
      <w:divBdr>
        <w:top w:val="none" w:sz="0" w:space="0" w:color="auto"/>
        <w:left w:val="none" w:sz="0" w:space="0" w:color="auto"/>
        <w:bottom w:val="none" w:sz="0" w:space="0" w:color="auto"/>
        <w:right w:val="none" w:sz="0" w:space="0" w:color="auto"/>
      </w:divBdr>
    </w:div>
    <w:div w:id="1230574128">
      <w:bodyDiv w:val="1"/>
      <w:marLeft w:val="0"/>
      <w:marRight w:val="0"/>
      <w:marTop w:val="0"/>
      <w:marBottom w:val="0"/>
      <w:divBdr>
        <w:top w:val="none" w:sz="0" w:space="0" w:color="auto"/>
        <w:left w:val="none" w:sz="0" w:space="0" w:color="auto"/>
        <w:bottom w:val="none" w:sz="0" w:space="0" w:color="auto"/>
        <w:right w:val="none" w:sz="0" w:space="0" w:color="auto"/>
      </w:divBdr>
    </w:div>
    <w:div w:id="1767382884">
      <w:bodyDiv w:val="1"/>
      <w:marLeft w:val="0"/>
      <w:marRight w:val="0"/>
      <w:marTop w:val="0"/>
      <w:marBottom w:val="0"/>
      <w:divBdr>
        <w:top w:val="none" w:sz="0" w:space="0" w:color="auto"/>
        <w:left w:val="none" w:sz="0" w:space="0" w:color="auto"/>
        <w:bottom w:val="none" w:sz="0" w:space="0" w:color="auto"/>
        <w:right w:val="none" w:sz="0" w:space="0" w:color="auto"/>
      </w:divBdr>
      <w:divsChild>
        <w:div w:id="1133862711">
          <w:marLeft w:val="0"/>
          <w:marRight w:val="0"/>
          <w:marTop w:val="0"/>
          <w:marBottom w:val="240"/>
          <w:divBdr>
            <w:top w:val="none" w:sz="0" w:space="0" w:color="auto"/>
            <w:left w:val="none" w:sz="0" w:space="0" w:color="auto"/>
            <w:bottom w:val="none" w:sz="0" w:space="0" w:color="auto"/>
            <w:right w:val="none" w:sz="0" w:space="0" w:color="auto"/>
          </w:divBdr>
        </w:div>
      </w:divsChild>
    </w:div>
    <w:div w:id="18010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AF78619-692F-1E41-B072-64B0F2AC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10</Pages>
  <Words>4318</Words>
  <Characters>23749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395</cp:revision>
  <dcterms:created xsi:type="dcterms:W3CDTF">2019-03-28T14:34:00Z</dcterms:created>
  <dcterms:modified xsi:type="dcterms:W3CDTF">2019-04-05T01:57:00Z</dcterms:modified>
</cp:coreProperties>
</file>