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87109" w14:textId="57A3B776" w:rsidR="00BC0252" w:rsidRDefault="006A36F6" w:rsidP="009D6F5D">
      <w:pPr>
        <w:spacing w:after="0" w:line="276" w:lineRule="auto"/>
        <w:jc w:val="center"/>
        <w:rPr>
          <w:rFonts w:ascii="Bookman Old Style" w:hAnsi="Bookman Old Style"/>
          <w:b/>
          <w:lang w:val="es"/>
        </w:rPr>
      </w:pPr>
      <w:r>
        <w:rPr>
          <w:rFonts w:ascii="Bookman Old Style" w:hAnsi="Bookman Old Style"/>
          <w:b/>
          <w:lang w:val="es"/>
        </w:rPr>
        <w:t>FUNCIONES DE LA AGENCIA NACIONAL DE CONTRATACIÓN PÚBLICA:</w:t>
      </w:r>
    </w:p>
    <w:p w14:paraId="5BCDBC0F" w14:textId="4CC71F78" w:rsidR="00335AE2" w:rsidRPr="001C5D4E" w:rsidRDefault="006A36F6" w:rsidP="009D6F5D">
      <w:pPr>
        <w:spacing w:after="0" w:line="276" w:lineRule="auto"/>
        <w:jc w:val="center"/>
        <w:rPr>
          <w:rFonts w:ascii="Bookman Old Style" w:hAnsi="Bookman Old Style"/>
          <w:b/>
          <w:lang w:val="es"/>
        </w:rPr>
      </w:pPr>
      <w:r>
        <w:rPr>
          <w:rFonts w:ascii="Bookman Old Style" w:hAnsi="Bookman Old Style"/>
          <w:b/>
          <w:lang w:val="es"/>
        </w:rPr>
        <w:t>DESARROLLO E IMPLEMENTACIÓN DE DOCUMENTOS TIPO</w:t>
      </w:r>
      <w:r w:rsidR="00E106F3" w:rsidRPr="001C5D4E">
        <w:rPr>
          <w:rStyle w:val="Refdenotaalpie"/>
          <w:rFonts w:ascii="Bookman Old Style" w:hAnsi="Bookman Old Style"/>
          <w:b/>
        </w:rPr>
        <w:footnoteReference w:id="1"/>
      </w:r>
    </w:p>
    <w:p w14:paraId="7EB47000" w14:textId="77777777" w:rsidR="007374A4" w:rsidRPr="001C5D4E" w:rsidRDefault="007374A4" w:rsidP="009D6F5D">
      <w:pPr>
        <w:spacing w:after="0" w:line="276" w:lineRule="auto"/>
        <w:jc w:val="center"/>
        <w:rPr>
          <w:rFonts w:ascii="Bookman Old Style" w:hAnsi="Bookman Old Style"/>
          <w:b/>
        </w:rPr>
      </w:pPr>
    </w:p>
    <w:p w14:paraId="6B39A70F" w14:textId="77777777" w:rsidR="007374A4" w:rsidRPr="001C5D4E" w:rsidRDefault="007374A4" w:rsidP="009D6F5D">
      <w:pPr>
        <w:spacing w:after="0" w:line="276" w:lineRule="auto"/>
        <w:jc w:val="center"/>
        <w:rPr>
          <w:rFonts w:ascii="Bookman Old Style" w:hAnsi="Bookman Old Style"/>
          <w:b/>
        </w:rPr>
      </w:pPr>
    </w:p>
    <w:p w14:paraId="0A76B2FE" w14:textId="53197034" w:rsidR="000B3A4E" w:rsidRDefault="00BC0252" w:rsidP="009D6F5D">
      <w:pPr>
        <w:pStyle w:val="Prrafodelista"/>
        <w:spacing w:after="0" w:line="276" w:lineRule="auto"/>
        <w:ind w:left="0"/>
        <w:jc w:val="right"/>
        <w:rPr>
          <w:rFonts w:ascii="Bookman Old Style" w:eastAsia="Times New Roman" w:hAnsi="Bookman Old Style"/>
          <w:lang w:eastAsia="es-ES"/>
        </w:rPr>
      </w:pPr>
      <w:r>
        <w:rPr>
          <w:rFonts w:ascii="Bookman Old Style" w:eastAsia="Times New Roman" w:hAnsi="Bookman Old Style"/>
          <w:lang w:eastAsia="es-ES"/>
        </w:rPr>
        <w:t>Mitchelle Rincón Rodríguez</w:t>
      </w:r>
      <w:r>
        <w:rPr>
          <w:rStyle w:val="Refdenotaalpie"/>
          <w:rFonts w:ascii="Bookman Old Style" w:eastAsia="Times New Roman" w:hAnsi="Bookman Old Style"/>
          <w:lang w:eastAsia="es-ES"/>
        </w:rPr>
        <w:footnoteReference w:id="2"/>
      </w:r>
    </w:p>
    <w:p w14:paraId="11F266A4" w14:textId="77777777" w:rsidR="00BC0252" w:rsidRPr="00BC0252" w:rsidRDefault="00BC0252" w:rsidP="009D6F5D">
      <w:pPr>
        <w:pStyle w:val="Prrafodelista"/>
        <w:spacing w:after="0" w:line="276" w:lineRule="auto"/>
        <w:ind w:left="0"/>
        <w:jc w:val="right"/>
        <w:rPr>
          <w:rFonts w:ascii="Bookman Old Style" w:eastAsia="Times New Roman" w:hAnsi="Bookman Old Style"/>
          <w:lang w:eastAsia="es-ES"/>
        </w:rPr>
      </w:pPr>
    </w:p>
    <w:p w14:paraId="06BD5DA5" w14:textId="77777777" w:rsidR="000B3A4E" w:rsidRPr="001C5D4E" w:rsidRDefault="000B3A4E" w:rsidP="009D6F5D">
      <w:pPr>
        <w:spacing w:after="0" w:line="276" w:lineRule="auto"/>
        <w:jc w:val="right"/>
        <w:rPr>
          <w:rFonts w:ascii="Bookman Old Style" w:hAnsi="Bookman Old Style"/>
        </w:rPr>
      </w:pPr>
    </w:p>
    <w:p w14:paraId="29BE2C3B" w14:textId="3A0D49DA" w:rsidR="009477A9" w:rsidRPr="0016202A" w:rsidRDefault="000B3A4E" w:rsidP="00D4108F">
      <w:pPr>
        <w:spacing w:after="0" w:line="240" w:lineRule="auto"/>
        <w:ind w:left="992" w:right="992"/>
        <w:jc w:val="both"/>
        <w:rPr>
          <w:rFonts w:ascii="Bookman Old Style" w:hAnsi="Bookman Old Style"/>
          <w:bCs/>
          <w:sz w:val="18"/>
          <w:szCs w:val="18"/>
          <w:u w:val="single"/>
          <w:lang w:val="es-ES"/>
        </w:rPr>
      </w:pPr>
      <w:r w:rsidRPr="001C5D4E">
        <w:rPr>
          <w:rFonts w:ascii="Bookman Old Style" w:hAnsi="Bookman Old Style"/>
          <w:b/>
          <w:sz w:val="18"/>
          <w:szCs w:val="18"/>
        </w:rPr>
        <w:t>RESUMEN.</w:t>
      </w:r>
      <w:r w:rsidR="00257E85" w:rsidRPr="001C5D4E">
        <w:rPr>
          <w:rFonts w:ascii="Bookman Old Style" w:hAnsi="Bookman Old Style"/>
          <w:b/>
          <w:sz w:val="18"/>
          <w:szCs w:val="18"/>
        </w:rPr>
        <w:t xml:space="preserve"> </w:t>
      </w:r>
      <w:r w:rsidR="0016202A">
        <w:rPr>
          <w:rFonts w:ascii="Bookman Old Style" w:hAnsi="Bookman Old Style"/>
          <w:bCs/>
          <w:sz w:val="18"/>
          <w:szCs w:val="18"/>
        </w:rPr>
        <w:t xml:space="preserve">La Agencia Nacional de Contratación Pública en su calidad de órgano regulador es uno de los sujetos que intervienen en la actividad contractual del Estado, de allí que analizar cada una de sus funciones sea de especial relevancia. En la actualidad una de las más importantes es la posibilidad de desarrollar e implementar documentos tipo, por lo que en este texto se estudiaran aspectos relevantes que permitan entenderla mejor. </w:t>
      </w:r>
    </w:p>
    <w:p w14:paraId="7FB38A21" w14:textId="77777777" w:rsidR="008E07C1" w:rsidRPr="001C5D4E" w:rsidRDefault="008E07C1" w:rsidP="009D6F5D">
      <w:pPr>
        <w:spacing w:after="0" w:line="276" w:lineRule="auto"/>
        <w:ind w:left="992" w:right="992"/>
        <w:jc w:val="both"/>
        <w:rPr>
          <w:rFonts w:ascii="Bookman Old Style" w:hAnsi="Bookman Old Style"/>
          <w:b/>
          <w:lang w:val="es-ES"/>
        </w:rPr>
      </w:pPr>
    </w:p>
    <w:p w14:paraId="25C704C2" w14:textId="77777777" w:rsidR="008E07C1" w:rsidRPr="001C5D4E" w:rsidRDefault="008E07C1" w:rsidP="009D6F5D">
      <w:pPr>
        <w:spacing w:after="0" w:line="276" w:lineRule="auto"/>
        <w:ind w:left="992" w:right="992"/>
        <w:jc w:val="both"/>
        <w:rPr>
          <w:rFonts w:ascii="Bookman Old Style" w:hAnsi="Bookman Old Style"/>
        </w:rPr>
      </w:pPr>
    </w:p>
    <w:p w14:paraId="6EFD98FC" w14:textId="77777777" w:rsidR="00643C35" w:rsidRPr="001C5D4E" w:rsidRDefault="00643C35" w:rsidP="009D6F5D">
      <w:pPr>
        <w:spacing w:after="0" w:line="276" w:lineRule="auto"/>
        <w:jc w:val="both"/>
        <w:rPr>
          <w:rFonts w:ascii="Bookman Old Style" w:eastAsia="Calibri" w:hAnsi="Bookman Old Style" w:cs="Calibri"/>
          <w:b/>
        </w:rPr>
      </w:pPr>
      <w:r w:rsidRPr="001C5D4E">
        <w:rPr>
          <w:rFonts w:ascii="Bookman Old Style" w:eastAsia="Calibri" w:hAnsi="Bookman Old Style" w:cs="Calibri"/>
          <w:b/>
        </w:rPr>
        <w:t>Introducción</w:t>
      </w:r>
    </w:p>
    <w:p w14:paraId="11E2FCCD" w14:textId="22487E30" w:rsidR="00643C35" w:rsidRPr="001C5D4E" w:rsidRDefault="00643C35" w:rsidP="009D6F5D">
      <w:pPr>
        <w:spacing w:after="0" w:line="276" w:lineRule="auto"/>
        <w:jc w:val="both"/>
        <w:rPr>
          <w:rFonts w:ascii="Bookman Old Style" w:eastAsia="Calibri" w:hAnsi="Bookman Old Style" w:cs="Calibri"/>
          <w:b/>
        </w:rPr>
      </w:pPr>
    </w:p>
    <w:p w14:paraId="3344FEA1" w14:textId="121C621E" w:rsidR="007862F4" w:rsidRPr="00B579B9" w:rsidRDefault="007862F4" w:rsidP="0016202A">
      <w:pPr>
        <w:spacing w:before="120" w:after="0" w:line="276" w:lineRule="auto"/>
        <w:jc w:val="both"/>
        <w:rPr>
          <w:rFonts w:ascii="Bookman Old Style" w:eastAsia="Calibri" w:hAnsi="Bookman Old Style" w:cs="Calibri"/>
        </w:rPr>
      </w:pPr>
      <w:r>
        <w:rPr>
          <w:rFonts w:ascii="Bookman Old Style" w:eastAsia="Calibri" w:hAnsi="Bookman Old Style" w:cs="Calibri"/>
        </w:rPr>
        <w:t>E</w:t>
      </w:r>
      <w:r w:rsidRPr="00B579B9">
        <w:rPr>
          <w:rFonts w:ascii="Bookman Old Style" w:eastAsia="Calibri" w:hAnsi="Bookman Old Style" w:cs="Calibri"/>
        </w:rPr>
        <w:t>l Decreto 4170 del 30 de noviembre 2011, expedido en ejercicio de las facultades extraordinarias conferidas al presidente de la república por los literales d), e) y f) del artículo 18 de la Ley 1444 de 2011, cre</w:t>
      </w:r>
      <w:r>
        <w:rPr>
          <w:rFonts w:ascii="Bookman Old Style" w:eastAsia="Calibri" w:hAnsi="Bookman Old Style" w:cs="Calibri"/>
        </w:rPr>
        <w:t>ó</w:t>
      </w:r>
      <w:r w:rsidRPr="00B579B9">
        <w:rPr>
          <w:rFonts w:ascii="Bookman Old Style" w:eastAsia="Calibri" w:hAnsi="Bookman Old Style" w:cs="Calibri"/>
        </w:rPr>
        <w:t xml:space="preserve"> la Agencia Nacional de Contratación Pública, Colombia Compra Eficiente, como Unidad Administrativa Especial, descentralizada de la rama ejecutiva del orden nacional, con personería jurídica, patrimonio propio y autonomía administrativa y financiera, adscrita al Departamento Nacional de Planeación. </w:t>
      </w:r>
    </w:p>
    <w:p w14:paraId="036D0035" w14:textId="29F97399" w:rsidR="00184DCB" w:rsidRDefault="007862F4" w:rsidP="0016202A">
      <w:pPr>
        <w:spacing w:before="120" w:after="0" w:line="276" w:lineRule="auto"/>
        <w:ind w:firstLine="709"/>
        <w:jc w:val="both"/>
        <w:rPr>
          <w:rFonts w:ascii="Bookman Old Style" w:hAnsi="Bookman Old Style"/>
        </w:rPr>
      </w:pPr>
      <w:r>
        <w:rPr>
          <w:rFonts w:ascii="Bookman Old Style" w:hAnsi="Bookman Old Style"/>
        </w:rPr>
        <w:t>La Agencia funge como órgano rector o regulador de la contratación estatal, para ello, le fueron conferidas diferentes funciones por medio de las que dirigirá este sector, una de las más relevantes en el escenario actual es la de desarrollar e implementar documentos tipo. Debido a la importancia que comporta esta función para el desarrollo de la actividad contractual, este texto an</w:t>
      </w:r>
      <w:bookmarkStart w:id="0" w:name="_GoBack"/>
      <w:bookmarkEnd w:id="0"/>
      <w:r>
        <w:rPr>
          <w:rFonts w:ascii="Bookman Old Style" w:hAnsi="Bookman Old Style"/>
        </w:rPr>
        <w:t xml:space="preserve">alizará los fundamentos jurídicos, la naturaleza jurídica de los pliegos tipo, a estos como limite de la autonomía de a voluntad y </w:t>
      </w:r>
      <w:r w:rsidR="0016202A">
        <w:rPr>
          <w:rFonts w:ascii="Bookman Old Style" w:hAnsi="Bookman Old Style"/>
        </w:rPr>
        <w:t>a ellos como resultado del ejercicio de la potestad reglamentaria.</w:t>
      </w:r>
    </w:p>
    <w:p w14:paraId="4E7DE6B2" w14:textId="77777777" w:rsidR="007862F4" w:rsidRDefault="007862F4" w:rsidP="00437B06">
      <w:pPr>
        <w:spacing w:after="0" w:line="276" w:lineRule="auto"/>
        <w:ind w:firstLine="709"/>
        <w:jc w:val="both"/>
        <w:rPr>
          <w:rFonts w:ascii="Bookman Old Style" w:hAnsi="Bookman Old Style"/>
        </w:rPr>
      </w:pPr>
    </w:p>
    <w:p w14:paraId="1C707BFB" w14:textId="06E9DB80" w:rsidR="0075335F" w:rsidRPr="006A36F6" w:rsidRDefault="006A36F6" w:rsidP="006A36F6">
      <w:pPr>
        <w:spacing w:after="0" w:line="240" w:lineRule="auto"/>
        <w:jc w:val="both"/>
        <w:rPr>
          <w:rFonts w:ascii="Bookman Old Style" w:hAnsi="Bookman Old Style"/>
          <w:b/>
          <w:bCs/>
        </w:rPr>
      </w:pPr>
      <w:r w:rsidRPr="006A36F6">
        <w:rPr>
          <w:rFonts w:ascii="Bookman Old Style" w:hAnsi="Bookman Old Style"/>
          <w:b/>
          <w:bCs/>
        </w:rPr>
        <w:t>1</w:t>
      </w:r>
      <w:r w:rsidR="0075335F" w:rsidRPr="006A36F6">
        <w:rPr>
          <w:rFonts w:ascii="Bookman Old Style" w:hAnsi="Bookman Old Style"/>
          <w:b/>
          <w:bCs/>
        </w:rPr>
        <w:t xml:space="preserve">. </w:t>
      </w:r>
      <w:r w:rsidRPr="006A36F6">
        <w:rPr>
          <w:rFonts w:ascii="Bookman Old Style" w:hAnsi="Bookman Old Style"/>
          <w:b/>
          <w:bCs/>
        </w:rPr>
        <w:t>Fundamentos jurídicos de los documentos tipo: antecedentes, actualidad y prospectiva</w:t>
      </w:r>
    </w:p>
    <w:p w14:paraId="2E69895C" w14:textId="0E0F1E21" w:rsidR="0075335F" w:rsidRDefault="0075335F" w:rsidP="0075335F">
      <w:pPr>
        <w:spacing w:after="0" w:line="276" w:lineRule="auto"/>
        <w:jc w:val="both"/>
        <w:rPr>
          <w:rFonts w:ascii="Bookman Old Style" w:hAnsi="Bookman Old Style"/>
          <w:b/>
          <w:bCs/>
        </w:rPr>
      </w:pPr>
    </w:p>
    <w:p w14:paraId="7503A22A" w14:textId="25723542" w:rsidR="006A36F6" w:rsidRDefault="00BC0413" w:rsidP="004674E2">
      <w:pPr>
        <w:spacing w:before="120" w:after="0" w:line="276" w:lineRule="auto"/>
        <w:jc w:val="both"/>
        <w:rPr>
          <w:rFonts w:ascii="Bookman Old Style" w:hAnsi="Bookman Old Style"/>
        </w:rPr>
      </w:pPr>
      <w:r>
        <w:rPr>
          <w:rFonts w:ascii="Bookman Old Style" w:hAnsi="Bookman Old Style"/>
        </w:rPr>
        <w:t>La idea de desarrollar e implementar</w:t>
      </w:r>
      <w:r w:rsidR="00F01B93">
        <w:rPr>
          <w:rFonts w:ascii="Bookman Old Style" w:hAnsi="Bookman Old Style"/>
        </w:rPr>
        <w:t xml:space="preserve"> documentos estandarizados para la contratación estatal no es reciente, por el contrario, </w:t>
      </w:r>
      <w:r w:rsidR="00AF3412">
        <w:rPr>
          <w:rFonts w:ascii="Bookman Old Style" w:hAnsi="Bookman Old Style"/>
        </w:rPr>
        <w:t>desde la expedición de la Ley 1150 de 2007, el parágrafo 3 del artículo dos señaló que el Gobierno Nacional tendría la facultad de unificar las condiciones generales de los pliegos y contratos de las entidades estatales, cuando se trate de la adquisición o suministro de bienes y servicios de características técnicas uniformes y de común utilización.</w:t>
      </w:r>
    </w:p>
    <w:p w14:paraId="7EB46084" w14:textId="6E3D86C6" w:rsidR="0059534E" w:rsidRDefault="002D3FD6" w:rsidP="004674E2">
      <w:pPr>
        <w:spacing w:before="120" w:after="0" w:line="276" w:lineRule="auto"/>
        <w:jc w:val="both"/>
        <w:rPr>
          <w:rFonts w:ascii="Bookman Old Style" w:hAnsi="Bookman Old Style"/>
        </w:rPr>
      </w:pPr>
      <w:r>
        <w:rPr>
          <w:rFonts w:ascii="Bookman Old Style" w:hAnsi="Bookman Old Style"/>
        </w:rPr>
        <w:tab/>
        <w:t>Est</w:t>
      </w:r>
      <w:r w:rsidR="0059534E">
        <w:rPr>
          <w:rFonts w:ascii="Bookman Old Style" w:hAnsi="Bookman Old Style"/>
        </w:rPr>
        <w:t>a</w:t>
      </w:r>
      <w:r>
        <w:rPr>
          <w:rFonts w:ascii="Bookman Old Style" w:hAnsi="Bookman Old Style"/>
        </w:rPr>
        <w:t xml:space="preserve"> se concibe como </w:t>
      </w:r>
      <w:r w:rsidR="0059534E">
        <w:rPr>
          <w:rFonts w:ascii="Bookman Old Style" w:hAnsi="Bookman Old Style"/>
        </w:rPr>
        <w:t>la</w:t>
      </w:r>
      <w:r>
        <w:rPr>
          <w:rFonts w:ascii="Bookman Old Style" w:hAnsi="Bookman Old Style"/>
        </w:rPr>
        <w:t xml:space="preserve"> </w:t>
      </w:r>
      <w:r w:rsidR="0059534E">
        <w:rPr>
          <w:rFonts w:ascii="Bookman Old Style" w:hAnsi="Bookman Old Style"/>
        </w:rPr>
        <w:t>primera referencia</w:t>
      </w:r>
      <w:r>
        <w:rPr>
          <w:rFonts w:ascii="Bookman Old Style" w:hAnsi="Bookman Old Style"/>
        </w:rPr>
        <w:t xml:space="preserve"> en la creación </w:t>
      </w:r>
      <w:r w:rsidR="0059534E">
        <w:rPr>
          <w:rFonts w:ascii="Bookman Old Style" w:hAnsi="Bookman Old Style"/>
        </w:rPr>
        <w:t xml:space="preserve">normativa </w:t>
      </w:r>
      <w:r>
        <w:rPr>
          <w:rFonts w:ascii="Bookman Old Style" w:hAnsi="Bookman Old Style"/>
        </w:rPr>
        <w:t xml:space="preserve">de </w:t>
      </w:r>
      <w:r w:rsidR="0059534E">
        <w:rPr>
          <w:rFonts w:ascii="Bookman Old Style" w:hAnsi="Bookman Old Style"/>
        </w:rPr>
        <w:t>estos documentos</w:t>
      </w:r>
      <w:r w:rsidR="00716F3D">
        <w:rPr>
          <w:rFonts w:ascii="Bookman Old Style" w:hAnsi="Bookman Old Style"/>
        </w:rPr>
        <w:t xml:space="preserve">, que le da al Gobierno una habilitación facultativa </w:t>
      </w:r>
      <w:r w:rsidR="0059534E">
        <w:rPr>
          <w:rFonts w:ascii="Bookman Old Style" w:hAnsi="Bookman Old Style"/>
        </w:rPr>
        <w:t>y limitada a un objeto contractual especifico</w:t>
      </w:r>
      <w:r w:rsidR="00716F3D">
        <w:rPr>
          <w:rFonts w:ascii="Bookman Old Style" w:hAnsi="Bookman Old Style"/>
        </w:rPr>
        <w:t xml:space="preserve">, es decir, que </w:t>
      </w:r>
      <w:r w:rsidR="00D20AB6">
        <w:rPr>
          <w:rFonts w:ascii="Bookman Old Style" w:hAnsi="Bookman Old Style"/>
        </w:rPr>
        <w:t>le otorga la posibilidad de decidir si realizarlos o no y, solamente, para lo allí expresamente referenciados, de ahí que para los demás objetos no estuviera permitido</w:t>
      </w:r>
      <w:r w:rsidR="0059534E">
        <w:rPr>
          <w:rFonts w:ascii="Bookman Old Style" w:hAnsi="Bookman Old Style"/>
        </w:rPr>
        <w:t xml:space="preserve">. Sin embargo, a la fecha el Gobierno no </w:t>
      </w:r>
      <w:r w:rsidR="00D20AB6">
        <w:rPr>
          <w:rFonts w:ascii="Bookman Old Style" w:hAnsi="Bookman Old Style"/>
        </w:rPr>
        <w:t xml:space="preserve">ejerció </w:t>
      </w:r>
      <w:r w:rsidR="0059534E">
        <w:rPr>
          <w:rFonts w:ascii="Bookman Old Style" w:hAnsi="Bookman Old Style"/>
        </w:rPr>
        <w:t>la facultad que se le confirió,</w:t>
      </w:r>
      <w:r w:rsidR="00D20AB6">
        <w:rPr>
          <w:rFonts w:ascii="Bookman Old Style" w:hAnsi="Bookman Old Style"/>
        </w:rPr>
        <w:t xml:space="preserve"> sin que se adelantara ninguna labor para poner en funcionamiento ninguno de estos instrumentos</w:t>
      </w:r>
      <w:r w:rsidR="005A7A2F">
        <w:rPr>
          <w:rFonts w:ascii="Bookman Old Style" w:hAnsi="Bookman Old Style"/>
        </w:rPr>
        <w:t>, a pesar de que aún se encuentra vigente</w:t>
      </w:r>
      <w:r w:rsidR="00D20AB6">
        <w:rPr>
          <w:rFonts w:ascii="Bookman Old Style" w:hAnsi="Bookman Old Style"/>
        </w:rPr>
        <w:t>.</w:t>
      </w:r>
    </w:p>
    <w:p w14:paraId="748EF688" w14:textId="5A37055B" w:rsidR="00AF3412" w:rsidRDefault="00545942" w:rsidP="004674E2">
      <w:pPr>
        <w:spacing w:before="120" w:after="0" w:line="276" w:lineRule="auto"/>
        <w:ind w:firstLine="709"/>
        <w:jc w:val="both"/>
        <w:rPr>
          <w:rFonts w:ascii="Bookman Old Style" w:hAnsi="Bookman Old Style"/>
        </w:rPr>
      </w:pPr>
      <w:r>
        <w:rPr>
          <w:rFonts w:ascii="Bookman Old Style" w:hAnsi="Bookman Old Style"/>
        </w:rPr>
        <w:t>Posteriormente</w:t>
      </w:r>
      <w:r w:rsidR="00AF3412">
        <w:rPr>
          <w:rFonts w:ascii="Bookman Old Style" w:hAnsi="Bookman Old Style"/>
        </w:rPr>
        <w:t xml:space="preserve">, el artículo </w:t>
      </w:r>
      <w:r w:rsidR="009021F8">
        <w:rPr>
          <w:rFonts w:ascii="Bookman Old Style" w:hAnsi="Bookman Old Style"/>
        </w:rPr>
        <w:t>159 del Decreto 1510 de 2013, contenido en el artículo 2.2.1.2.5.2. del Decreto Único Reglamentario 1082 de 2015, consagró que, Colombia Compra Eficien</w:t>
      </w:r>
      <w:r w:rsidR="00FC1B32">
        <w:rPr>
          <w:rFonts w:ascii="Bookman Old Style" w:hAnsi="Bookman Old Style"/>
        </w:rPr>
        <w:t>te debía diseñar e implementar los siguientes instrumentos estandarizados y especializados por el tipo de obra, bien o servicio a contratar,</w:t>
      </w:r>
      <w:r w:rsidR="009021F8">
        <w:rPr>
          <w:rFonts w:ascii="Bookman Old Style" w:hAnsi="Bookman Old Style"/>
        </w:rPr>
        <w:t xml:space="preserve"> </w:t>
      </w:r>
      <w:r w:rsidR="00FC1B32">
        <w:rPr>
          <w:rFonts w:ascii="Bookman Old Style" w:hAnsi="Bookman Old Style"/>
        </w:rPr>
        <w:t xml:space="preserve">teniendo en el numeral 3 los pliegos de condiciones tipos para la contratación y en el numeral 4 las minutas tipo de contratos. </w:t>
      </w:r>
    </w:p>
    <w:p w14:paraId="48BC7382" w14:textId="2440B33C" w:rsidR="00754333" w:rsidRDefault="002D3FD6" w:rsidP="004674E2">
      <w:pPr>
        <w:spacing w:before="120" w:after="0" w:line="276" w:lineRule="auto"/>
        <w:ind w:firstLine="709"/>
        <w:jc w:val="both"/>
        <w:rPr>
          <w:rFonts w:ascii="Bookman Old Style" w:hAnsi="Bookman Old Style"/>
        </w:rPr>
      </w:pPr>
      <w:r>
        <w:rPr>
          <w:rFonts w:ascii="Bookman Old Style" w:hAnsi="Bookman Old Style"/>
        </w:rPr>
        <w:t>Est</w:t>
      </w:r>
      <w:r w:rsidR="00D20AB6">
        <w:rPr>
          <w:rFonts w:ascii="Bookman Old Style" w:hAnsi="Bookman Old Style"/>
        </w:rPr>
        <w:t>a fue otra iniciativa para implementar esta herramienta, aunque en esta ocasión la potestad la confirió un decreto y</w:t>
      </w:r>
      <w:r w:rsidR="004C01E4">
        <w:rPr>
          <w:rFonts w:ascii="Bookman Old Style" w:hAnsi="Bookman Old Style"/>
        </w:rPr>
        <w:t>, directamente,</w:t>
      </w:r>
      <w:r w:rsidR="00D20AB6">
        <w:rPr>
          <w:rFonts w:ascii="Bookman Old Style" w:hAnsi="Bookman Old Style"/>
        </w:rPr>
        <w:t xml:space="preserve"> a la Agencia Nacional de Contratación Pública</w:t>
      </w:r>
      <w:r w:rsidR="00845654">
        <w:rPr>
          <w:rFonts w:ascii="Bookman Old Style" w:hAnsi="Bookman Old Style"/>
        </w:rPr>
        <w:t xml:space="preserve"> ―CCE―, en ella se evidenciaba una obligación, pues indicó que CCE «debe diseñar e implementar», es decir, que se utilizaron verbos rectores imperativos, además, de que se pretendió ampliar la aplicación para </w:t>
      </w:r>
      <w:r w:rsidR="00845654">
        <w:rPr>
          <w:rFonts w:ascii="Bookman Old Style" w:hAnsi="Bookman Old Style"/>
          <w:i/>
          <w:iCs/>
        </w:rPr>
        <w:t>todos</w:t>
      </w:r>
      <w:r w:rsidR="00845654">
        <w:rPr>
          <w:rFonts w:ascii="Bookman Old Style" w:hAnsi="Bookman Old Style"/>
        </w:rPr>
        <w:t xml:space="preserve"> los objetos contractuales</w:t>
      </w:r>
      <w:r w:rsidR="00D20AB6">
        <w:rPr>
          <w:rFonts w:ascii="Bookman Old Style" w:hAnsi="Bookman Old Style"/>
        </w:rPr>
        <w:t>. Estos</w:t>
      </w:r>
      <w:r>
        <w:rPr>
          <w:rFonts w:ascii="Bookman Old Style" w:hAnsi="Bookman Old Style"/>
        </w:rPr>
        <w:t xml:space="preserve"> numerales fueron </w:t>
      </w:r>
      <w:r w:rsidR="00D20AB6">
        <w:rPr>
          <w:rFonts w:ascii="Bookman Old Style" w:hAnsi="Bookman Old Style"/>
        </w:rPr>
        <w:t xml:space="preserve">demandados y </w:t>
      </w:r>
      <w:r>
        <w:rPr>
          <w:rFonts w:ascii="Bookman Old Style" w:hAnsi="Bookman Old Style"/>
        </w:rPr>
        <w:t>revisados por el Consejo de Estado en la sentencia del 11 de abril de 2019</w:t>
      </w:r>
      <w:r w:rsidR="00845654">
        <w:rPr>
          <w:rFonts w:ascii="Bookman Old Style" w:hAnsi="Bookman Old Style"/>
        </w:rPr>
        <w:t xml:space="preserve">. </w:t>
      </w:r>
    </w:p>
    <w:p w14:paraId="4F59C4E4" w14:textId="6128CFF3" w:rsidR="00754333" w:rsidRDefault="00845654" w:rsidP="004674E2">
      <w:pPr>
        <w:spacing w:before="120" w:after="0" w:line="276" w:lineRule="auto"/>
        <w:ind w:firstLine="709"/>
        <w:jc w:val="both"/>
        <w:rPr>
          <w:rFonts w:ascii="Bookman Old Style" w:hAnsi="Bookman Old Style"/>
        </w:rPr>
      </w:pPr>
      <w:r>
        <w:rPr>
          <w:rFonts w:ascii="Bookman Old Style" w:hAnsi="Bookman Old Style"/>
        </w:rPr>
        <w:t>Respecto al numeral 4 expresó que para la Sala Agencia no cuenta con la competencia jurídica necesaria para diseñar documentos estandarizados de carácter obligatorio para ninguna modalidad contractual</w:t>
      </w:r>
      <w:r w:rsidR="00754333">
        <w:rPr>
          <w:rFonts w:ascii="Bookman Old Style" w:hAnsi="Bookman Old Style"/>
        </w:rPr>
        <w:t>, pues no existe ninguna norma jurídica que la sustente, lo que, además, pugna con la autonomía de la voluntad reconocida en la Ley 80 de 1993</w:t>
      </w:r>
      <w:r>
        <w:rPr>
          <w:rFonts w:ascii="Bookman Old Style" w:hAnsi="Bookman Old Style"/>
        </w:rPr>
        <w:t>.</w:t>
      </w:r>
      <w:r w:rsidR="00754333">
        <w:rPr>
          <w:rFonts w:ascii="Bookman Old Style" w:hAnsi="Bookman Old Style"/>
        </w:rPr>
        <w:t xml:space="preserve"> Por ello la Corporación consideró que la facultad constituye un traspaso de la potestad reglamentaria del presidente de la república, por lo que se declaró la nulidad de este aparte</w:t>
      </w:r>
      <w:r w:rsidR="004C01E4">
        <w:rPr>
          <w:rStyle w:val="Refdenotaalpie"/>
          <w:rFonts w:ascii="Bookman Old Style" w:hAnsi="Bookman Old Style"/>
        </w:rPr>
        <w:footnoteReference w:id="3"/>
      </w:r>
      <w:r w:rsidR="00754333">
        <w:rPr>
          <w:rFonts w:ascii="Bookman Old Style" w:hAnsi="Bookman Old Style"/>
        </w:rPr>
        <w:t xml:space="preserve">. </w:t>
      </w:r>
    </w:p>
    <w:p w14:paraId="3BD5472A" w14:textId="77777777" w:rsidR="00754333" w:rsidRDefault="00754333" w:rsidP="004674E2">
      <w:pPr>
        <w:spacing w:before="120" w:after="0" w:line="276" w:lineRule="auto"/>
        <w:ind w:firstLine="709"/>
        <w:jc w:val="both"/>
        <w:rPr>
          <w:rFonts w:ascii="Bookman Old Style" w:hAnsi="Bookman Old Style"/>
        </w:rPr>
      </w:pPr>
      <w:r>
        <w:rPr>
          <w:rFonts w:ascii="Bookman Old Style" w:hAnsi="Bookman Old Style"/>
        </w:rPr>
        <w:t xml:space="preserve">En cuanto al numeral 3, explicó que no se trata de una ampliación de la facultad del parágrafo 3 del artículo 3 de la Ley 1150 de 2007, pues se trata de diferentes sujetos y alcances, además, indicó que no es una potestad reglamentaria </w:t>
      </w:r>
      <w:r>
        <w:rPr>
          <w:rFonts w:ascii="Bookman Old Style" w:hAnsi="Bookman Old Style"/>
        </w:rPr>
        <w:lastRenderedPageBreak/>
        <w:t xml:space="preserve">conferida a la Agencia, que de los pliegos tipo no podría predicarse ninguna obligatoriedad, que la elaboración de estos </w:t>
      </w:r>
      <w:proofErr w:type="gramStart"/>
      <w:r>
        <w:rPr>
          <w:rFonts w:ascii="Bookman Old Style" w:hAnsi="Bookman Old Style"/>
        </w:rPr>
        <w:t>le</w:t>
      </w:r>
      <w:proofErr w:type="gramEnd"/>
      <w:r>
        <w:rPr>
          <w:rFonts w:ascii="Bookman Old Style" w:hAnsi="Bookman Old Style"/>
        </w:rPr>
        <w:t xml:space="preserve"> corresponde a las entidades públicas, en concordancia con el principio de autonomía de la voluntad. De ahí que se declarara nulo el numeral analizado.</w:t>
      </w:r>
    </w:p>
    <w:p w14:paraId="5CC638BF" w14:textId="5BAEB402" w:rsidR="00FC1B32" w:rsidRDefault="005A7A2F" w:rsidP="004674E2">
      <w:pPr>
        <w:spacing w:before="120" w:after="0" w:line="276" w:lineRule="auto"/>
        <w:ind w:firstLine="709"/>
        <w:jc w:val="both"/>
        <w:rPr>
          <w:rFonts w:ascii="Bookman Old Style" w:hAnsi="Bookman Old Style"/>
        </w:rPr>
      </w:pPr>
      <w:r>
        <w:rPr>
          <w:rFonts w:ascii="Bookman Old Style" w:hAnsi="Bookman Old Style"/>
        </w:rPr>
        <w:t>El artículo 4 de la Ley 1882 de 2018</w:t>
      </w:r>
      <w:r w:rsidR="000B03F8">
        <w:rPr>
          <w:rFonts w:ascii="Bookman Old Style" w:hAnsi="Bookman Old Style"/>
        </w:rPr>
        <w:t xml:space="preserve"> adicionó el parágrafo 7 al artículo 2 de la Ley 1150 de 2007, en él se establec</w:t>
      </w:r>
      <w:r w:rsidR="003279D2">
        <w:rPr>
          <w:rFonts w:ascii="Bookman Old Style" w:hAnsi="Bookman Old Style"/>
        </w:rPr>
        <w:t>e</w:t>
      </w:r>
      <w:r w:rsidR="000B03F8">
        <w:rPr>
          <w:rFonts w:ascii="Bookman Old Style" w:hAnsi="Bookman Old Style"/>
        </w:rPr>
        <w:t xml:space="preserve"> que el Gobierno nacional adoptará documentos tipo para los pliegos de selección de</w:t>
      </w:r>
      <w:r w:rsidR="00E216AB">
        <w:rPr>
          <w:rFonts w:ascii="Bookman Old Style" w:hAnsi="Bookman Old Style"/>
        </w:rPr>
        <w:t xml:space="preserve"> los siguientes objetos contractuales: </w:t>
      </w:r>
      <w:r w:rsidR="00E216AB">
        <w:rPr>
          <w:rFonts w:ascii="Bookman Old Style" w:hAnsi="Bookman Old Style"/>
          <w:i/>
          <w:iCs/>
        </w:rPr>
        <w:t xml:space="preserve">i) </w:t>
      </w:r>
      <w:r w:rsidR="000B03F8">
        <w:rPr>
          <w:rFonts w:ascii="Bookman Old Style" w:hAnsi="Bookman Old Style"/>
        </w:rPr>
        <w:t>obras públicas</w:t>
      </w:r>
      <w:r w:rsidR="00E216AB">
        <w:rPr>
          <w:rFonts w:ascii="Bookman Old Style" w:hAnsi="Bookman Old Style"/>
        </w:rPr>
        <w:t xml:space="preserve">; </w:t>
      </w:r>
      <w:proofErr w:type="spellStart"/>
      <w:r w:rsidR="00E216AB">
        <w:rPr>
          <w:rFonts w:ascii="Bookman Old Style" w:hAnsi="Bookman Old Style"/>
          <w:i/>
          <w:iCs/>
        </w:rPr>
        <w:t>ii</w:t>
      </w:r>
      <w:proofErr w:type="spellEnd"/>
      <w:r w:rsidR="00E216AB">
        <w:rPr>
          <w:rFonts w:ascii="Bookman Old Style" w:hAnsi="Bookman Old Style"/>
          <w:i/>
          <w:iCs/>
        </w:rPr>
        <w:t>)</w:t>
      </w:r>
      <w:r w:rsidR="000B03F8">
        <w:rPr>
          <w:rFonts w:ascii="Bookman Old Style" w:hAnsi="Bookman Old Style"/>
        </w:rPr>
        <w:t xml:space="preserve"> interventoría para las obras públicas</w:t>
      </w:r>
      <w:r w:rsidR="00E216AB">
        <w:rPr>
          <w:rFonts w:ascii="Bookman Old Style" w:hAnsi="Bookman Old Style"/>
        </w:rPr>
        <w:t xml:space="preserve">; </w:t>
      </w:r>
      <w:proofErr w:type="spellStart"/>
      <w:r w:rsidR="00E216AB">
        <w:rPr>
          <w:rFonts w:ascii="Bookman Old Style" w:hAnsi="Bookman Old Style"/>
          <w:i/>
          <w:iCs/>
        </w:rPr>
        <w:t>iii</w:t>
      </w:r>
      <w:proofErr w:type="spellEnd"/>
      <w:r w:rsidR="00E216AB">
        <w:rPr>
          <w:rFonts w:ascii="Bookman Old Style" w:hAnsi="Bookman Old Style"/>
          <w:i/>
          <w:iCs/>
        </w:rPr>
        <w:t xml:space="preserve">) </w:t>
      </w:r>
      <w:r w:rsidR="000B03F8">
        <w:rPr>
          <w:rFonts w:ascii="Bookman Old Style" w:hAnsi="Bookman Old Style"/>
        </w:rPr>
        <w:t xml:space="preserve">interventoría para consultoría de estudios </w:t>
      </w:r>
      <w:r w:rsidR="00E216AB">
        <w:rPr>
          <w:rFonts w:ascii="Bookman Old Style" w:hAnsi="Bookman Old Style"/>
        </w:rPr>
        <w:t xml:space="preserve">y diseños para obras públicas; </w:t>
      </w:r>
      <w:proofErr w:type="spellStart"/>
      <w:r w:rsidR="00E216AB">
        <w:rPr>
          <w:rFonts w:ascii="Bookman Old Style" w:hAnsi="Bookman Old Style"/>
          <w:i/>
          <w:iCs/>
        </w:rPr>
        <w:t>iv</w:t>
      </w:r>
      <w:proofErr w:type="spellEnd"/>
      <w:r w:rsidR="00E216AB">
        <w:rPr>
          <w:rFonts w:ascii="Bookman Old Style" w:hAnsi="Bookman Old Style"/>
          <w:i/>
          <w:iCs/>
        </w:rPr>
        <w:t>)</w:t>
      </w:r>
      <w:r w:rsidR="000B03F8">
        <w:rPr>
          <w:rFonts w:ascii="Bookman Old Style" w:hAnsi="Bookman Old Style"/>
        </w:rPr>
        <w:t xml:space="preserve"> consultoría</w:t>
      </w:r>
      <w:r w:rsidR="00E216AB">
        <w:rPr>
          <w:rFonts w:ascii="Bookman Old Style" w:hAnsi="Bookman Old Style"/>
        </w:rPr>
        <w:t xml:space="preserve"> en ingeniería para obras, los cuales deben utilizarlos todas las entidades públicas sometidas al Estatuto General de Contratación de la Administración Pública. </w:t>
      </w:r>
    </w:p>
    <w:p w14:paraId="3806A6A7" w14:textId="3D7365D2" w:rsidR="003279D2" w:rsidRDefault="003279D2" w:rsidP="004674E2">
      <w:pPr>
        <w:spacing w:before="120" w:after="0" w:line="276" w:lineRule="auto"/>
        <w:ind w:firstLine="709"/>
        <w:jc w:val="both"/>
        <w:rPr>
          <w:rFonts w:ascii="Bookman Old Style" w:hAnsi="Bookman Old Style"/>
        </w:rPr>
      </w:pPr>
      <w:r>
        <w:rPr>
          <w:rFonts w:ascii="Bookman Old Style" w:hAnsi="Bookman Old Style"/>
        </w:rPr>
        <w:t xml:space="preserve">Asimismo, señala que en los documentos el Gobierno adoptará de forma general y con alcance obligatorio las condiciones habilitantes, los factores técnicos y económicos de escogencia, de acuerdo con cada modalidad de selección, con la ponderación precisa y detallada </w:t>
      </w:r>
      <w:r w:rsidR="008A29EE">
        <w:rPr>
          <w:rFonts w:ascii="Bookman Old Style" w:hAnsi="Bookman Old Style"/>
        </w:rPr>
        <w:t>de los mismo según la naturaleza y cuantía de los contratos. Para la adopción de la reglamentación se deben tener en cuenta las características de cada región, con el ánimo de promover el empleo local. Por último, la facultad la tendrá el Gobierno cuando lo considere necesario, en relación con otros contratos o procesos de selección.</w:t>
      </w:r>
    </w:p>
    <w:p w14:paraId="0F160681" w14:textId="2D93D911" w:rsidR="008A29EE" w:rsidRDefault="008A29EE" w:rsidP="00026C91">
      <w:pPr>
        <w:spacing w:before="120" w:after="0" w:line="276" w:lineRule="auto"/>
        <w:ind w:firstLine="709"/>
        <w:jc w:val="both"/>
        <w:rPr>
          <w:rFonts w:ascii="Bookman Old Style" w:hAnsi="Bookman Old Style"/>
        </w:rPr>
      </w:pPr>
      <w:r>
        <w:rPr>
          <w:rFonts w:ascii="Bookman Old Style" w:hAnsi="Bookman Old Style"/>
        </w:rPr>
        <w:t>Esta norma introduce definitivamente los documentos tipo para la contratación del Estado, específicamente, para los objetos que se describieron con anterioridad, pero abriendo la posibilidad de que se extienda para aquellos que el Gobierno considere necesarios</w:t>
      </w:r>
      <w:r w:rsidR="002807E5">
        <w:rPr>
          <w:rFonts w:ascii="Bookman Old Style" w:hAnsi="Bookman Old Style"/>
        </w:rPr>
        <w:t xml:space="preserve">, además, lo hace por medio de un verbo rector ―adoptará― que se traduce en un mandato, es decir, que es una norma imperativa a diferencia del mencionado parágrafo 3, pues en este caso la disposición no da margen de elección al Gobierno, sino que le ordena crear y desarrollar los documentos. Como consecuencia, se expidió el Decreto 342 de 2019, por el cual se adicionó la Sección 6 de la Subsección 1 del Capítulo 2 del Título 1 de la Parte 2 del Libro 2 del Decreto 1082 de 2015, y precisó en el artículo 2.2.1.2.6.1.1. que la Subsección tiene por objeto adoptar los documentos tipo para los pliegos de condiciones de los procesos de selección de licitación de obra pública de infraestructura de transporte. </w:t>
      </w:r>
    </w:p>
    <w:p w14:paraId="42346D35" w14:textId="77777777" w:rsidR="005C218D" w:rsidRDefault="00874557" w:rsidP="00026C91">
      <w:pPr>
        <w:spacing w:before="120" w:after="0" w:line="276" w:lineRule="auto"/>
        <w:ind w:firstLine="709"/>
        <w:jc w:val="both"/>
        <w:rPr>
          <w:rFonts w:ascii="Bookman Old Style" w:hAnsi="Bookman Old Style" w:cs="Arial"/>
        </w:rPr>
      </w:pPr>
      <w:r>
        <w:rPr>
          <w:rFonts w:ascii="Bookman Old Style" w:hAnsi="Bookman Old Style"/>
        </w:rPr>
        <w:t xml:space="preserve">La primera anotación que debe hacerse al respecto es </w:t>
      </w:r>
      <w:proofErr w:type="gramStart"/>
      <w:r>
        <w:rPr>
          <w:rFonts w:ascii="Bookman Old Style" w:hAnsi="Bookman Old Style"/>
        </w:rPr>
        <w:t>que</w:t>
      </w:r>
      <w:proofErr w:type="gramEnd"/>
      <w:r>
        <w:rPr>
          <w:rFonts w:ascii="Bookman Old Style" w:hAnsi="Bookman Old Style"/>
        </w:rPr>
        <w:t xml:space="preserve"> si bien la Ley otorgó la potestad para realizar la implementación en varios objetos contractuales, el Decreto reglamentario lo limitó a ese especifico</w:t>
      </w:r>
      <w:r w:rsidR="00706329">
        <w:rPr>
          <w:rFonts w:ascii="Bookman Old Style" w:hAnsi="Bookman Old Style"/>
        </w:rPr>
        <w:t xml:space="preserve"> y</w:t>
      </w:r>
      <w:r w:rsidR="00C2166C">
        <w:rPr>
          <w:rFonts w:ascii="Bookman Old Style" w:hAnsi="Bookman Old Style"/>
        </w:rPr>
        <w:t xml:space="preserve"> le</w:t>
      </w:r>
      <w:r w:rsidR="00706329">
        <w:rPr>
          <w:rFonts w:ascii="Bookman Old Style" w:hAnsi="Bookman Old Style"/>
        </w:rPr>
        <w:t xml:space="preserve"> dio, al igual que los numerales declarados nulos, en el artículo 2.2.1.2.6.1.3. </w:t>
      </w:r>
      <w:r w:rsidR="00706329">
        <w:rPr>
          <w:rFonts w:ascii="Bookman Old Style" w:hAnsi="Bookman Old Style"/>
          <w:i/>
          <w:iCs/>
        </w:rPr>
        <w:t xml:space="preserve">ibidem, </w:t>
      </w:r>
      <w:r w:rsidR="00706329">
        <w:rPr>
          <w:rFonts w:ascii="Bookman Old Style" w:hAnsi="Bookman Old Style"/>
        </w:rPr>
        <w:t xml:space="preserve">la facultad a Colombia Compra Eficiente de desarrollarlos e implementarlos, en coordinación con el Departamento Nacional de Planeación ―DNP― y el ministerio de transporte. El mismo </w:t>
      </w:r>
      <w:r w:rsidR="001D0D91">
        <w:rPr>
          <w:rFonts w:ascii="Bookman Old Style" w:hAnsi="Bookman Old Style"/>
        </w:rPr>
        <w:t>establece que debe:</w:t>
      </w:r>
      <w:r w:rsidR="005028DD">
        <w:rPr>
          <w:rFonts w:ascii="Bookman Old Style" w:hAnsi="Bookman Old Style"/>
        </w:rPr>
        <w:t xml:space="preserve"> </w:t>
      </w:r>
      <w:bookmarkStart w:id="1" w:name="_Hlk35281791"/>
      <w:r w:rsidR="004674E2">
        <w:rPr>
          <w:rFonts w:ascii="Bookman Old Style" w:hAnsi="Bookman Old Style" w:cs="Arial"/>
          <w:i/>
          <w:iCs/>
        </w:rPr>
        <w:t>i)</w:t>
      </w:r>
      <w:r w:rsidR="001D0D91" w:rsidRPr="004674E2">
        <w:rPr>
          <w:rFonts w:ascii="Bookman Old Style" w:hAnsi="Bookman Old Style" w:cs="Arial"/>
        </w:rPr>
        <w:t xml:space="preserve"> </w:t>
      </w:r>
      <w:r w:rsidR="004674E2">
        <w:rPr>
          <w:rFonts w:ascii="Bookman Old Style" w:hAnsi="Bookman Old Style" w:cs="Arial"/>
        </w:rPr>
        <w:t>d</w:t>
      </w:r>
      <w:r w:rsidR="001D0D91" w:rsidRPr="004674E2">
        <w:rPr>
          <w:rFonts w:ascii="Bookman Old Style" w:hAnsi="Bookman Old Style" w:cs="Arial"/>
        </w:rPr>
        <w:t>efinir las reglas aplicables a la presentación de las ofertas, su evaluación y la adjudicación del contrato</w:t>
      </w:r>
      <w:r w:rsidR="004674E2">
        <w:rPr>
          <w:rFonts w:ascii="Bookman Old Style" w:hAnsi="Bookman Old Style" w:cs="Arial"/>
        </w:rPr>
        <w:t xml:space="preserve">; </w:t>
      </w:r>
      <w:proofErr w:type="spellStart"/>
      <w:r w:rsidR="004674E2">
        <w:rPr>
          <w:rFonts w:ascii="Bookman Old Style" w:hAnsi="Bookman Old Style" w:cs="Arial"/>
          <w:i/>
          <w:iCs/>
        </w:rPr>
        <w:t>ii</w:t>
      </w:r>
      <w:proofErr w:type="spellEnd"/>
      <w:r w:rsidR="004674E2">
        <w:rPr>
          <w:rFonts w:ascii="Bookman Old Style" w:hAnsi="Bookman Old Style" w:cs="Arial"/>
          <w:i/>
          <w:iCs/>
        </w:rPr>
        <w:t xml:space="preserve">) </w:t>
      </w:r>
      <w:r w:rsidR="004674E2">
        <w:rPr>
          <w:rFonts w:ascii="Bookman Old Style" w:hAnsi="Bookman Old Style" w:cs="Arial"/>
        </w:rPr>
        <w:t>i</w:t>
      </w:r>
      <w:r w:rsidR="001D0D91" w:rsidRPr="004674E2">
        <w:rPr>
          <w:rFonts w:ascii="Bookman Old Style" w:hAnsi="Bookman Old Style" w:cs="Arial"/>
        </w:rPr>
        <w:t xml:space="preserve">ncluir las reglas de interpretación, causales de rechazo y demás elementos necesarios para la </w:t>
      </w:r>
      <w:r w:rsidR="001D0D91" w:rsidRPr="004674E2">
        <w:rPr>
          <w:rFonts w:ascii="Bookman Old Style" w:hAnsi="Bookman Old Style" w:cs="Arial"/>
        </w:rPr>
        <w:lastRenderedPageBreak/>
        <w:t xml:space="preserve">estructuración de los documentos del </w:t>
      </w:r>
      <w:r w:rsidR="005C218D">
        <w:rPr>
          <w:rFonts w:ascii="Bookman Old Style" w:hAnsi="Bookman Old Style" w:cs="Arial"/>
        </w:rPr>
        <w:t>p</w:t>
      </w:r>
      <w:r w:rsidR="001D0D91" w:rsidRPr="004674E2">
        <w:rPr>
          <w:rFonts w:ascii="Bookman Old Style" w:hAnsi="Bookman Old Style" w:cs="Arial"/>
        </w:rPr>
        <w:t xml:space="preserve">roceso de </w:t>
      </w:r>
      <w:r w:rsidR="005C218D">
        <w:rPr>
          <w:rFonts w:ascii="Bookman Old Style" w:hAnsi="Bookman Old Style" w:cs="Arial"/>
        </w:rPr>
        <w:t>c</w:t>
      </w:r>
      <w:r w:rsidR="001D0D91" w:rsidRPr="004674E2">
        <w:rPr>
          <w:rFonts w:ascii="Bookman Old Style" w:hAnsi="Bookman Old Style" w:cs="Arial"/>
        </w:rPr>
        <w:t>ontratación</w:t>
      </w:r>
      <w:r w:rsidR="004674E2">
        <w:rPr>
          <w:rFonts w:ascii="Bookman Old Style" w:hAnsi="Bookman Old Style" w:cs="Arial"/>
        </w:rPr>
        <w:t xml:space="preserve">; </w:t>
      </w:r>
      <w:proofErr w:type="spellStart"/>
      <w:r w:rsidR="004674E2">
        <w:rPr>
          <w:rFonts w:ascii="Bookman Old Style" w:hAnsi="Bookman Old Style" w:cs="Arial"/>
          <w:i/>
          <w:iCs/>
        </w:rPr>
        <w:t>iii</w:t>
      </w:r>
      <w:proofErr w:type="spellEnd"/>
      <w:r w:rsidR="004674E2">
        <w:rPr>
          <w:rFonts w:ascii="Bookman Old Style" w:hAnsi="Bookman Old Style" w:cs="Arial"/>
          <w:i/>
          <w:iCs/>
        </w:rPr>
        <w:t>) e</w:t>
      </w:r>
      <w:r w:rsidR="001D0D91" w:rsidRPr="004674E2">
        <w:rPr>
          <w:rFonts w:ascii="Bookman Old Style" w:hAnsi="Bookman Old Style" w:cs="Arial"/>
        </w:rPr>
        <w:t>stablecer los requisitos y documentos necesarios para la acreditación de la capacidad jurídica</w:t>
      </w:r>
      <w:r w:rsidR="004674E2">
        <w:rPr>
          <w:rFonts w:ascii="Bookman Old Style" w:hAnsi="Bookman Old Style" w:cs="Arial"/>
        </w:rPr>
        <w:t xml:space="preserve">; </w:t>
      </w:r>
      <w:proofErr w:type="spellStart"/>
      <w:r w:rsidR="004674E2">
        <w:rPr>
          <w:rFonts w:ascii="Bookman Old Style" w:hAnsi="Bookman Old Style" w:cs="Arial"/>
          <w:i/>
          <w:iCs/>
        </w:rPr>
        <w:t>iv</w:t>
      </w:r>
      <w:proofErr w:type="spellEnd"/>
      <w:r w:rsidR="004674E2">
        <w:rPr>
          <w:rFonts w:ascii="Bookman Old Style" w:hAnsi="Bookman Old Style" w:cs="Arial"/>
          <w:i/>
          <w:iCs/>
        </w:rPr>
        <w:t>) s</w:t>
      </w:r>
      <w:r w:rsidR="001D0D91" w:rsidRPr="004674E2">
        <w:rPr>
          <w:rFonts w:ascii="Bookman Old Style" w:hAnsi="Bookman Old Style" w:cs="Arial"/>
        </w:rPr>
        <w:t xml:space="preserve">eñalar las actividades sobre las </w:t>
      </w:r>
      <w:r w:rsidR="005C218D">
        <w:rPr>
          <w:rFonts w:ascii="Bookman Old Style" w:hAnsi="Bookman Old Style" w:cs="Arial"/>
        </w:rPr>
        <w:t xml:space="preserve">que </w:t>
      </w:r>
      <w:r w:rsidR="001D0D91" w:rsidRPr="004674E2">
        <w:rPr>
          <w:rFonts w:ascii="Bookman Old Style" w:hAnsi="Bookman Old Style" w:cs="Arial"/>
        </w:rPr>
        <w:t>recaerá la verificación de la experiencia de los proponentes, así como los documentos y criterios de acreditación y verificación de experiencia, teniendo en cuenta la cuantía y el tipo de intervención</w:t>
      </w:r>
      <w:r w:rsidR="004674E2">
        <w:rPr>
          <w:rFonts w:ascii="Bookman Old Style" w:hAnsi="Bookman Old Style" w:cs="Arial"/>
        </w:rPr>
        <w:t xml:space="preserve">; </w:t>
      </w:r>
      <w:r w:rsidR="004674E2">
        <w:rPr>
          <w:rFonts w:ascii="Bookman Old Style" w:hAnsi="Bookman Old Style" w:cs="Arial"/>
          <w:i/>
          <w:iCs/>
        </w:rPr>
        <w:t xml:space="preserve">v) </w:t>
      </w:r>
      <w:r w:rsidR="001D0D91" w:rsidRPr="004674E2">
        <w:rPr>
          <w:rFonts w:ascii="Bookman Old Style" w:hAnsi="Bookman Old Style" w:cs="Arial"/>
        </w:rPr>
        <w:t>Incluir indicadores financieros de acuerdo con el análisis del sector económico</w:t>
      </w:r>
      <w:r w:rsidR="004674E2">
        <w:rPr>
          <w:rFonts w:ascii="Bookman Old Style" w:hAnsi="Bookman Old Style" w:cs="Arial"/>
        </w:rPr>
        <w:t xml:space="preserve">; </w:t>
      </w:r>
      <w:r w:rsidR="004674E2">
        <w:rPr>
          <w:rFonts w:ascii="Bookman Old Style" w:hAnsi="Bookman Old Style" w:cs="Arial"/>
          <w:i/>
          <w:iCs/>
        </w:rPr>
        <w:t xml:space="preserve">vi) </w:t>
      </w:r>
      <w:r w:rsidR="004674E2">
        <w:rPr>
          <w:rFonts w:ascii="Bookman Old Style" w:hAnsi="Bookman Old Style" w:cs="Arial"/>
        </w:rPr>
        <w:t>d</w:t>
      </w:r>
      <w:r w:rsidR="001D0D91" w:rsidRPr="004674E2">
        <w:rPr>
          <w:rFonts w:ascii="Bookman Old Style" w:hAnsi="Bookman Old Style" w:cs="Arial"/>
        </w:rPr>
        <w:t xml:space="preserve">efinir los métodos de ponderación de la oferta económica que </w:t>
      </w:r>
      <w:r w:rsidR="005C218D">
        <w:rPr>
          <w:rFonts w:ascii="Bookman Old Style" w:hAnsi="Bookman Old Style" w:cs="Arial"/>
        </w:rPr>
        <w:t>se deben incluir en los</w:t>
      </w:r>
      <w:r w:rsidR="001D0D91" w:rsidRPr="004674E2">
        <w:rPr>
          <w:rFonts w:ascii="Bookman Old Style" w:hAnsi="Bookman Old Style" w:cs="Arial"/>
        </w:rPr>
        <w:t xml:space="preserve"> procesos que procuren el desarrollo del principio de libre competencia, los cuales deberán ser seleccionados haciendo uso de un mecanismo</w:t>
      </w:r>
      <w:r w:rsidR="005C218D">
        <w:rPr>
          <w:rFonts w:ascii="Bookman Old Style" w:hAnsi="Bookman Old Style" w:cs="Arial"/>
        </w:rPr>
        <w:t xml:space="preserve"> aleatorio</w:t>
      </w:r>
      <w:r w:rsidR="003F32C8">
        <w:rPr>
          <w:rFonts w:ascii="Bookman Old Style" w:hAnsi="Bookman Old Style" w:cs="Arial"/>
        </w:rPr>
        <w:t xml:space="preserve">; </w:t>
      </w:r>
      <w:proofErr w:type="spellStart"/>
      <w:r w:rsidR="003F32C8">
        <w:rPr>
          <w:rFonts w:ascii="Bookman Old Style" w:hAnsi="Bookman Old Style" w:cs="Arial"/>
          <w:i/>
          <w:iCs/>
        </w:rPr>
        <w:t>vii</w:t>
      </w:r>
      <w:proofErr w:type="spellEnd"/>
      <w:r w:rsidR="003F32C8">
        <w:rPr>
          <w:rFonts w:ascii="Bookman Old Style" w:hAnsi="Bookman Old Style" w:cs="Arial"/>
          <w:i/>
          <w:iCs/>
        </w:rPr>
        <w:t xml:space="preserve">) </w:t>
      </w:r>
      <w:r w:rsidR="003F32C8" w:rsidRPr="003F32C8">
        <w:rPr>
          <w:rFonts w:ascii="Bookman Old Style" w:hAnsi="Bookman Old Style" w:cs="Arial"/>
        </w:rPr>
        <w:t>Fijar alternativas para la ponderación de los elementos de calidad con el fin de que la entidad seleccione la opción adecuada p</w:t>
      </w:r>
      <w:r w:rsidR="001D0D91" w:rsidRPr="003F32C8">
        <w:rPr>
          <w:rFonts w:ascii="Bookman Old Style" w:hAnsi="Bookman Old Style" w:cs="Arial"/>
        </w:rPr>
        <w:t xml:space="preserve">ara evaluar las condiciones técnicas de manera objetiva de acuerdo con el objeto </w:t>
      </w:r>
      <w:r w:rsidR="005C218D">
        <w:rPr>
          <w:rFonts w:ascii="Bookman Old Style" w:hAnsi="Bookman Old Style" w:cs="Arial"/>
        </w:rPr>
        <w:t>contractual</w:t>
      </w:r>
      <w:r w:rsidR="003F32C8">
        <w:rPr>
          <w:rFonts w:ascii="Bookman Old Style" w:hAnsi="Bookman Old Style" w:cs="Arial"/>
        </w:rPr>
        <w:t xml:space="preserve">; </w:t>
      </w:r>
      <w:proofErr w:type="spellStart"/>
      <w:r w:rsidR="003F32C8">
        <w:rPr>
          <w:rFonts w:ascii="Bookman Old Style" w:hAnsi="Bookman Old Style" w:cs="Arial"/>
          <w:i/>
          <w:iCs/>
        </w:rPr>
        <w:t>viii</w:t>
      </w:r>
      <w:proofErr w:type="spellEnd"/>
      <w:r w:rsidR="003F32C8">
        <w:rPr>
          <w:rFonts w:ascii="Bookman Old Style" w:hAnsi="Bookman Old Style" w:cs="Arial"/>
          <w:i/>
          <w:iCs/>
        </w:rPr>
        <w:t>) t</w:t>
      </w:r>
      <w:r w:rsidR="001D0D91" w:rsidRPr="004674E2">
        <w:rPr>
          <w:rFonts w:ascii="Bookman Old Style" w:hAnsi="Bookman Old Style" w:cs="Arial"/>
        </w:rPr>
        <w:t>ener en cuenta las reglas contenidas en la Ley 816 de 2003</w:t>
      </w:r>
      <w:r w:rsidR="003F32C8">
        <w:rPr>
          <w:rFonts w:ascii="Bookman Old Style" w:hAnsi="Bookman Old Style" w:cs="Arial"/>
        </w:rPr>
        <w:t>, en cuanto al</w:t>
      </w:r>
      <w:r w:rsidR="001D0D91" w:rsidRPr="004674E2">
        <w:rPr>
          <w:rFonts w:ascii="Bookman Old Style" w:hAnsi="Bookman Old Style" w:cs="Arial"/>
        </w:rPr>
        <w:t xml:space="preserve"> puntaje de apoyo a la industria nacional, y los artículos 2.2.1.2.4.2.6, 2.2.1.2.4.2.7, Y 2.2.1.2.4.2.8 del presente Decreto, en lo relativo al puntaje adicional para proponentes con trabajadores con discapacidad</w:t>
      </w:r>
      <w:r w:rsidR="003F32C8">
        <w:rPr>
          <w:rFonts w:ascii="Bookman Old Style" w:hAnsi="Bookman Old Style" w:cs="Arial"/>
        </w:rPr>
        <w:t xml:space="preserve">; </w:t>
      </w:r>
      <w:proofErr w:type="spellStart"/>
      <w:r w:rsidR="003F32C8">
        <w:rPr>
          <w:rFonts w:ascii="Bookman Old Style" w:hAnsi="Bookman Old Style" w:cs="Arial"/>
          <w:i/>
          <w:iCs/>
        </w:rPr>
        <w:t>ix</w:t>
      </w:r>
      <w:proofErr w:type="spellEnd"/>
      <w:r w:rsidR="003F32C8">
        <w:rPr>
          <w:rFonts w:ascii="Bookman Old Style" w:hAnsi="Bookman Old Style" w:cs="Arial"/>
          <w:i/>
          <w:iCs/>
        </w:rPr>
        <w:t xml:space="preserve">) </w:t>
      </w:r>
      <w:r w:rsidR="003F32C8">
        <w:rPr>
          <w:rFonts w:ascii="Bookman Old Style" w:hAnsi="Bookman Old Style" w:cs="Arial"/>
        </w:rPr>
        <w:t>i</w:t>
      </w:r>
      <w:r w:rsidR="001D0D91" w:rsidRPr="004674E2">
        <w:rPr>
          <w:rFonts w:ascii="Bookman Old Style" w:hAnsi="Bookman Old Style" w:cs="Arial"/>
        </w:rPr>
        <w:t>mplementar formatos, anexos, matrices o formularios necesarios para la presentación de las ofertas y descripción del proceso de contratación</w:t>
      </w:r>
      <w:r w:rsidR="003F32C8">
        <w:rPr>
          <w:rFonts w:ascii="Bookman Old Style" w:hAnsi="Bookman Old Style" w:cs="Arial"/>
        </w:rPr>
        <w:t xml:space="preserve"> y </w:t>
      </w:r>
      <w:r w:rsidR="003F32C8">
        <w:rPr>
          <w:rFonts w:ascii="Bookman Old Style" w:hAnsi="Bookman Old Style" w:cs="Arial"/>
          <w:i/>
          <w:iCs/>
        </w:rPr>
        <w:t>x) e</w:t>
      </w:r>
      <w:r w:rsidR="001D0D91" w:rsidRPr="004674E2">
        <w:rPr>
          <w:rFonts w:ascii="Bookman Old Style" w:hAnsi="Bookman Old Style" w:cs="Arial"/>
        </w:rPr>
        <w:t>stablecer pautas generales para la ejecución del contrato, teniendo en cuenta que la entidad estatal es quien fija las condiciones particulares del contrato, atendiendo a su autonomía.</w:t>
      </w:r>
    </w:p>
    <w:p w14:paraId="45C71E36" w14:textId="670FDD22" w:rsidR="001D0D91" w:rsidRDefault="005C218D" w:rsidP="005C218D">
      <w:pPr>
        <w:spacing w:after="0" w:line="276" w:lineRule="auto"/>
        <w:ind w:firstLine="709"/>
        <w:jc w:val="both"/>
        <w:rPr>
          <w:rFonts w:ascii="Bookman Old Style" w:hAnsi="Bookman Old Style"/>
        </w:rPr>
      </w:pPr>
      <w:r>
        <w:rPr>
          <w:rFonts w:ascii="Bookman Old Style" w:hAnsi="Bookman Old Style" w:cs="Arial"/>
        </w:rPr>
        <w:t>Además, el artículo indicó que l</w:t>
      </w:r>
      <w:r w:rsidR="001D0D91" w:rsidRPr="004674E2">
        <w:rPr>
          <w:rFonts w:ascii="Bookman Old Style" w:hAnsi="Bookman Old Style" w:cs="Arial"/>
        </w:rPr>
        <w:t>as disposiciones definidas por Colombia Compra Eficiente son de obligatorio cumplimiento por parte de las entidades estatales sometidas al Estatuto General de la Contratación Pública.</w:t>
      </w:r>
      <w:bookmarkEnd w:id="1"/>
    </w:p>
    <w:p w14:paraId="55845152" w14:textId="73438FB0" w:rsidR="00C2166C" w:rsidRDefault="00D33035" w:rsidP="004674E2">
      <w:pPr>
        <w:spacing w:before="120" w:after="0" w:line="276" w:lineRule="auto"/>
        <w:ind w:firstLine="709"/>
        <w:jc w:val="both"/>
        <w:rPr>
          <w:rFonts w:ascii="Bookman Old Style" w:hAnsi="Bookman Old Style"/>
        </w:rPr>
      </w:pPr>
      <w:r>
        <w:rPr>
          <w:rFonts w:ascii="Bookman Old Style" w:hAnsi="Bookman Old Style"/>
        </w:rPr>
        <w:t>Dentro de la regulación e</w:t>
      </w:r>
      <w:r w:rsidR="00C2166C">
        <w:rPr>
          <w:rFonts w:ascii="Bookman Old Style" w:hAnsi="Bookman Old Style"/>
        </w:rPr>
        <w:t>l artículo 2.2.1.2.6.1.2</w:t>
      </w:r>
      <w:r>
        <w:rPr>
          <w:rFonts w:ascii="Bookman Old Style" w:hAnsi="Bookman Old Style"/>
        </w:rPr>
        <w:t xml:space="preserve"> </w:t>
      </w:r>
      <w:r>
        <w:rPr>
          <w:rFonts w:ascii="Bookman Old Style" w:hAnsi="Bookman Old Style"/>
          <w:i/>
          <w:iCs/>
        </w:rPr>
        <w:t>ibidem</w:t>
      </w:r>
      <w:r w:rsidR="00C2166C">
        <w:rPr>
          <w:rFonts w:ascii="Bookman Old Style" w:hAnsi="Bookman Old Style"/>
        </w:rPr>
        <w:t xml:space="preserve"> </w:t>
      </w:r>
      <w:r>
        <w:rPr>
          <w:rFonts w:ascii="Bookman Old Style" w:hAnsi="Bookman Old Style"/>
        </w:rPr>
        <w:t xml:space="preserve">se </w:t>
      </w:r>
      <w:r w:rsidR="00C2166C">
        <w:rPr>
          <w:rFonts w:ascii="Bookman Old Style" w:hAnsi="Bookman Old Style"/>
        </w:rPr>
        <w:t>establece</w:t>
      </w:r>
      <w:r>
        <w:rPr>
          <w:rFonts w:ascii="Bookman Old Style" w:hAnsi="Bookman Old Style"/>
        </w:rPr>
        <w:t>n</w:t>
      </w:r>
      <w:r w:rsidR="00C2166C">
        <w:rPr>
          <w:rFonts w:ascii="Bookman Old Style" w:hAnsi="Bookman Old Style"/>
        </w:rPr>
        <w:t xml:space="preserve"> los Documentos </w:t>
      </w:r>
      <w:r>
        <w:rPr>
          <w:rFonts w:ascii="Bookman Old Style" w:hAnsi="Bookman Old Style"/>
        </w:rPr>
        <w:t>que tienen los documentos que integran los estandarizados, siendo los siguientes</w:t>
      </w:r>
      <w:r w:rsidR="00C2166C">
        <w:rPr>
          <w:rFonts w:ascii="Bookman Old Style" w:hAnsi="Bookman Old Style"/>
        </w:rPr>
        <w:t xml:space="preserve">: </w:t>
      </w:r>
      <w:r w:rsidR="00C2166C">
        <w:rPr>
          <w:rFonts w:ascii="Bookman Old Style" w:hAnsi="Bookman Old Style"/>
          <w:i/>
          <w:iCs/>
        </w:rPr>
        <w:t>i)</w:t>
      </w:r>
      <w:r w:rsidR="00C2166C">
        <w:rPr>
          <w:rFonts w:ascii="Bookman Old Style" w:hAnsi="Bookman Old Style"/>
        </w:rPr>
        <w:t xml:space="preserve"> documento base del pliego tipo; </w:t>
      </w:r>
      <w:proofErr w:type="spellStart"/>
      <w:r w:rsidR="00C2166C">
        <w:rPr>
          <w:rFonts w:ascii="Bookman Old Style" w:hAnsi="Bookman Old Style"/>
          <w:i/>
          <w:iCs/>
        </w:rPr>
        <w:t>ii</w:t>
      </w:r>
      <w:proofErr w:type="spellEnd"/>
      <w:r w:rsidR="00C2166C">
        <w:rPr>
          <w:rFonts w:ascii="Bookman Old Style" w:hAnsi="Bookman Old Style"/>
          <w:i/>
          <w:iCs/>
        </w:rPr>
        <w:t xml:space="preserve">) </w:t>
      </w:r>
      <w:r w:rsidR="00C2166C">
        <w:rPr>
          <w:rFonts w:ascii="Bookman Old Style" w:hAnsi="Bookman Old Style"/>
        </w:rPr>
        <w:t xml:space="preserve">anexos ―anexo técnico, cronograma, glosario, pacto de transparencia y la minuta del contrato―; </w:t>
      </w:r>
      <w:proofErr w:type="spellStart"/>
      <w:r w:rsidR="00C2166C">
        <w:rPr>
          <w:rFonts w:ascii="Bookman Old Style" w:hAnsi="Bookman Old Style"/>
          <w:i/>
          <w:iCs/>
        </w:rPr>
        <w:t>iii</w:t>
      </w:r>
      <w:proofErr w:type="spellEnd"/>
      <w:r w:rsidR="00C2166C">
        <w:rPr>
          <w:rFonts w:ascii="Bookman Old Style" w:hAnsi="Bookman Old Style"/>
          <w:i/>
          <w:iCs/>
        </w:rPr>
        <w:t xml:space="preserve">) </w:t>
      </w:r>
      <w:r w:rsidR="00C2166C">
        <w:rPr>
          <w:rFonts w:ascii="Bookman Old Style" w:hAnsi="Bookman Old Style"/>
        </w:rPr>
        <w:t xml:space="preserve">formatos ―carta de presentación de la oferta, conformación de proponente plural, experiencia, capacidad financiera y organizacional para extranjeros, capacidad residual, pagos de seguridad social y aportes legales, factor de calidad, vinculación de personas con discapacidad y puntaje de industria nacional―; </w:t>
      </w:r>
      <w:proofErr w:type="spellStart"/>
      <w:r w:rsidR="00C2166C">
        <w:rPr>
          <w:rFonts w:ascii="Bookman Old Style" w:hAnsi="Bookman Old Style"/>
          <w:i/>
          <w:iCs/>
        </w:rPr>
        <w:t>iv</w:t>
      </w:r>
      <w:proofErr w:type="spellEnd"/>
      <w:r w:rsidR="00C2166C">
        <w:rPr>
          <w:rFonts w:ascii="Bookman Old Style" w:hAnsi="Bookman Old Style"/>
          <w:i/>
          <w:iCs/>
        </w:rPr>
        <w:t xml:space="preserve">) </w:t>
      </w:r>
      <w:r w:rsidR="00C2166C">
        <w:rPr>
          <w:rFonts w:ascii="Bookman Old Style" w:hAnsi="Bookman Old Style"/>
        </w:rPr>
        <w:t>matrices ―experiencia, indicadores financieros y organizacionales y riesgos―</w:t>
      </w:r>
      <w:r>
        <w:rPr>
          <w:rFonts w:ascii="Bookman Old Style" w:hAnsi="Bookman Old Style"/>
        </w:rPr>
        <w:t xml:space="preserve"> y </w:t>
      </w:r>
      <w:r>
        <w:rPr>
          <w:rFonts w:ascii="Bookman Old Style" w:hAnsi="Bookman Old Style"/>
          <w:i/>
          <w:iCs/>
        </w:rPr>
        <w:t>v)</w:t>
      </w:r>
      <w:r>
        <w:rPr>
          <w:rFonts w:ascii="Bookman Old Style" w:hAnsi="Bookman Old Style"/>
        </w:rPr>
        <w:t xml:space="preserve"> formularios ―formulario de presupuesto oficial―. </w:t>
      </w:r>
    </w:p>
    <w:p w14:paraId="616876AF" w14:textId="4942C089" w:rsidR="00D33035" w:rsidRDefault="00D33035" w:rsidP="004674E2">
      <w:pPr>
        <w:spacing w:before="120" w:after="0" w:line="276" w:lineRule="auto"/>
        <w:ind w:firstLine="709"/>
        <w:jc w:val="both"/>
        <w:rPr>
          <w:rFonts w:ascii="Bookman Old Style" w:hAnsi="Bookman Old Style"/>
        </w:rPr>
      </w:pPr>
      <w:r>
        <w:rPr>
          <w:rFonts w:ascii="Bookman Old Style" w:hAnsi="Bookman Old Style"/>
        </w:rPr>
        <w:t xml:space="preserve">Además, se agrega en el artículo 2.2.1.2.6.1.4. </w:t>
      </w:r>
      <w:r>
        <w:rPr>
          <w:rFonts w:ascii="Bookman Old Style" w:hAnsi="Bookman Old Style"/>
          <w:i/>
          <w:iCs/>
        </w:rPr>
        <w:t xml:space="preserve">ibidem </w:t>
      </w:r>
      <w:r>
        <w:rPr>
          <w:rFonts w:ascii="Bookman Old Style" w:hAnsi="Bookman Old Style"/>
        </w:rPr>
        <w:t xml:space="preserve">la inalterabilidad de los documentos tipo, consagrando la prohibición de que las entidades incluyan o modifiquen las condiciones habilitantes, los factores técnicos y económicos de escogencia y los sistemas de ponderación que en ellos se determinen. Además, en el artículo 2.2.1.2.6.1.5 lo relativo a </w:t>
      </w:r>
      <w:r w:rsidR="00E05C0C">
        <w:rPr>
          <w:rFonts w:ascii="Bookman Old Style" w:hAnsi="Bookman Old Style"/>
        </w:rPr>
        <w:t xml:space="preserve">los objetos contractuales que incluyan bienes o servicios ajenos a la obra pública de infraestructura de transporte, exigiendo la </w:t>
      </w:r>
      <w:r w:rsidR="00E05C0C">
        <w:rPr>
          <w:rFonts w:ascii="Bookman Old Style" w:hAnsi="Bookman Old Style"/>
        </w:rPr>
        <w:lastRenderedPageBreak/>
        <w:t>aplicación de los documentos estandarizados y definiendo los parámetros a seguir de necesitar incluir experiencia adicional para evaluar su idoneidad</w:t>
      </w:r>
      <w:r w:rsidR="00E05C0C">
        <w:rPr>
          <w:rStyle w:val="Refdenotaalpie"/>
          <w:rFonts w:ascii="Bookman Old Style" w:hAnsi="Bookman Old Style"/>
        </w:rPr>
        <w:footnoteReference w:id="4"/>
      </w:r>
      <w:r w:rsidR="00E05C0C">
        <w:rPr>
          <w:rFonts w:ascii="Bookman Old Style" w:hAnsi="Bookman Old Style"/>
        </w:rPr>
        <w:t xml:space="preserve">. </w:t>
      </w:r>
    </w:p>
    <w:p w14:paraId="661DB22A" w14:textId="259269A8" w:rsidR="00724D44" w:rsidRDefault="00C216ED" w:rsidP="004674E2">
      <w:pPr>
        <w:spacing w:before="120" w:after="0" w:line="276" w:lineRule="auto"/>
        <w:ind w:firstLine="709"/>
        <w:jc w:val="both"/>
        <w:rPr>
          <w:rFonts w:ascii="Bookman Old Style" w:hAnsi="Bookman Old Style"/>
        </w:rPr>
      </w:pPr>
      <w:r>
        <w:rPr>
          <w:rFonts w:ascii="Bookman Old Style" w:hAnsi="Bookman Old Style"/>
        </w:rPr>
        <w:t xml:space="preserve">Posteriormente, el Decreto 2096 de 2019 adicionó </w:t>
      </w:r>
      <w:r w:rsidR="00337AAF">
        <w:rPr>
          <w:rFonts w:ascii="Bookman Old Style" w:hAnsi="Bookman Old Style"/>
        </w:rPr>
        <w:t xml:space="preserve">la Subsección 2 a la Sección 6 del Capítulo 2 del Título 1 de la Parte 2 del Libro 2 del Decreto 1082 de 2015, que de acuerdo con el artículo 2.2.1.2.6.2.1 adopta los documentos tipo para los pliegos de condiciones de obra pública de infraestructura de transporte que se adelante en la modalidad de selección abreviada de menor cuantía. Según el artículo 2.2.1.2.6.2.2. deben contener </w:t>
      </w:r>
      <w:r w:rsidR="00724D44">
        <w:rPr>
          <w:rFonts w:ascii="Bookman Old Style" w:hAnsi="Bookman Old Style"/>
        </w:rPr>
        <w:t xml:space="preserve">los siguientes documentos: </w:t>
      </w:r>
      <w:r w:rsidR="00724D44">
        <w:rPr>
          <w:rFonts w:ascii="Bookman Old Style" w:hAnsi="Bookman Old Style"/>
          <w:i/>
          <w:iCs/>
        </w:rPr>
        <w:t>i)</w:t>
      </w:r>
      <w:r w:rsidR="00724D44">
        <w:rPr>
          <w:rFonts w:ascii="Bookman Old Style" w:hAnsi="Bookman Old Style"/>
        </w:rPr>
        <w:t xml:space="preserve"> documento base del pliego tipo; </w:t>
      </w:r>
      <w:proofErr w:type="spellStart"/>
      <w:r w:rsidR="00724D44">
        <w:rPr>
          <w:rFonts w:ascii="Bookman Old Style" w:hAnsi="Bookman Old Style"/>
          <w:i/>
          <w:iCs/>
        </w:rPr>
        <w:t>ii</w:t>
      </w:r>
      <w:proofErr w:type="spellEnd"/>
      <w:r w:rsidR="00724D44">
        <w:rPr>
          <w:rFonts w:ascii="Bookman Old Style" w:hAnsi="Bookman Old Style"/>
          <w:i/>
          <w:iCs/>
        </w:rPr>
        <w:t xml:space="preserve">) </w:t>
      </w:r>
      <w:r w:rsidR="00724D44">
        <w:rPr>
          <w:rFonts w:ascii="Bookman Old Style" w:hAnsi="Bookman Old Style"/>
        </w:rPr>
        <w:t xml:space="preserve">anexos ―anexo técnico, cronograma, glosario, pacto de transparencia y la minuta del contrato―; </w:t>
      </w:r>
      <w:proofErr w:type="spellStart"/>
      <w:r w:rsidR="00724D44">
        <w:rPr>
          <w:rFonts w:ascii="Bookman Old Style" w:hAnsi="Bookman Old Style"/>
          <w:i/>
          <w:iCs/>
        </w:rPr>
        <w:t>iii</w:t>
      </w:r>
      <w:proofErr w:type="spellEnd"/>
      <w:r w:rsidR="00724D44">
        <w:rPr>
          <w:rFonts w:ascii="Bookman Old Style" w:hAnsi="Bookman Old Style"/>
          <w:i/>
          <w:iCs/>
        </w:rPr>
        <w:t xml:space="preserve">) </w:t>
      </w:r>
      <w:r w:rsidR="00724D44">
        <w:rPr>
          <w:rFonts w:ascii="Bookman Old Style" w:hAnsi="Bookman Old Style"/>
        </w:rPr>
        <w:t xml:space="preserve">formatos ―carta de presentación de la oferta, conformación de proponente plural, experiencia, capacidad financiera y organizacional para extranjeros, capacidad residual, pagos de seguridad social y aportes legales, factor de calidad, vinculación de personas con discapacidad,  puntaje de industria nacional y carta de manifestación de interés―; </w:t>
      </w:r>
      <w:proofErr w:type="spellStart"/>
      <w:r w:rsidR="00724D44">
        <w:rPr>
          <w:rFonts w:ascii="Bookman Old Style" w:hAnsi="Bookman Old Style"/>
          <w:i/>
          <w:iCs/>
        </w:rPr>
        <w:t>iv</w:t>
      </w:r>
      <w:proofErr w:type="spellEnd"/>
      <w:r w:rsidR="00724D44">
        <w:rPr>
          <w:rFonts w:ascii="Bookman Old Style" w:hAnsi="Bookman Old Style"/>
          <w:i/>
          <w:iCs/>
        </w:rPr>
        <w:t xml:space="preserve">) </w:t>
      </w:r>
      <w:r w:rsidR="00724D44">
        <w:rPr>
          <w:rFonts w:ascii="Bookman Old Style" w:hAnsi="Bookman Old Style"/>
        </w:rPr>
        <w:t xml:space="preserve">matrices ―experiencia, indicadores financieros y organizacionales y riesgos― y </w:t>
      </w:r>
      <w:r w:rsidR="00724D44">
        <w:rPr>
          <w:rFonts w:ascii="Bookman Old Style" w:hAnsi="Bookman Old Style"/>
          <w:i/>
          <w:iCs/>
        </w:rPr>
        <w:t>v)</w:t>
      </w:r>
      <w:r w:rsidR="00724D44">
        <w:rPr>
          <w:rFonts w:ascii="Bookman Old Style" w:hAnsi="Bookman Old Style"/>
        </w:rPr>
        <w:t xml:space="preserve"> formularios ―formulario de presupuesto oficial―. </w:t>
      </w:r>
    </w:p>
    <w:p w14:paraId="3C5E0DF9" w14:textId="7EB8349F" w:rsidR="00C2166C" w:rsidRDefault="00724D44" w:rsidP="004674E2">
      <w:pPr>
        <w:shd w:val="clear" w:color="auto" w:fill="FFFFFF"/>
        <w:spacing w:before="120" w:after="0" w:line="240" w:lineRule="auto"/>
        <w:ind w:firstLine="708"/>
        <w:jc w:val="both"/>
        <w:rPr>
          <w:rFonts w:ascii="Bookman Old Style" w:eastAsia="Times New Roman" w:hAnsi="Bookman Old Style" w:cs="Arial"/>
          <w:lang w:eastAsia="es-ES"/>
        </w:rPr>
      </w:pPr>
      <w:r>
        <w:rPr>
          <w:rFonts w:ascii="Bookman Old Style" w:hAnsi="Bookman Old Style"/>
        </w:rPr>
        <w:t xml:space="preserve">Ahora, el artículo </w:t>
      </w:r>
      <w:r w:rsidR="00E9253D">
        <w:rPr>
          <w:rFonts w:ascii="Bookman Old Style" w:hAnsi="Bookman Old Style"/>
        </w:rPr>
        <w:t xml:space="preserve">2.2.1.2.6.2.3 del </w:t>
      </w:r>
      <w:r w:rsidR="00E9253D">
        <w:rPr>
          <w:rFonts w:ascii="Bookman Old Style" w:hAnsi="Bookman Old Style"/>
          <w:i/>
          <w:iCs/>
        </w:rPr>
        <w:t>ibidem</w:t>
      </w:r>
      <w:r w:rsidR="00E9253D">
        <w:rPr>
          <w:rFonts w:ascii="Bookman Old Style" w:hAnsi="Bookman Old Style"/>
        </w:rPr>
        <w:t xml:space="preserve"> definió que la Agencia, el Departamento Nacional de Planeación y el Ministerio de Transporte deben tener en cuenta lo definido en el artículo2.2.1.2.6.1.3 del Decreto 1082 de 2015, para el desarrollo de los documentos normalizados en la modalidad regulada, salvo en lo referente al puntaje adicional para proponentes con trabajadores con discapacidad de los artículos  </w:t>
      </w:r>
      <w:r w:rsidR="00E9253D" w:rsidRPr="004202E1">
        <w:rPr>
          <w:rFonts w:ascii="Bookman Old Style" w:eastAsia="Times New Roman" w:hAnsi="Bookman Old Style" w:cs="Arial"/>
          <w:lang w:eastAsia="es-ES"/>
        </w:rPr>
        <w:t xml:space="preserve">2.2.1.2.4.2.6, 2.2.1.2.4.2.7 y 2.2.1.2.4.2.8 </w:t>
      </w:r>
      <w:r w:rsidR="00E9253D">
        <w:rPr>
          <w:rFonts w:ascii="Bookman Old Style" w:eastAsia="Times New Roman" w:hAnsi="Bookman Old Style" w:cs="Arial"/>
          <w:i/>
          <w:iCs/>
          <w:lang w:eastAsia="es-ES"/>
        </w:rPr>
        <w:t xml:space="preserve">ibidem, </w:t>
      </w:r>
      <w:r w:rsidR="00E9253D">
        <w:rPr>
          <w:rFonts w:ascii="Bookman Old Style" w:eastAsia="Times New Roman" w:hAnsi="Bookman Old Style" w:cs="Arial"/>
          <w:lang w:eastAsia="es-ES"/>
        </w:rPr>
        <w:t>de igual forma, l</w:t>
      </w:r>
      <w:r w:rsidR="00E9253D" w:rsidRPr="004202E1">
        <w:rPr>
          <w:rFonts w:ascii="Bookman Old Style" w:eastAsia="Times New Roman" w:hAnsi="Bookman Old Style" w:cs="Arial"/>
          <w:lang w:eastAsia="es-ES"/>
        </w:rPr>
        <w:t>os artículos 2.2.1.2.6.1.4 y 2.2.1.2.6.1.5 aplican para la modalidad de selección abreviada de menor cuantía para la contratación obra pública de infraestructura de transport</w:t>
      </w:r>
      <w:r w:rsidR="00E9253D">
        <w:rPr>
          <w:rFonts w:ascii="Bookman Old Style" w:eastAsia="Times New Roman" w:hAnsi="Bookman Old Style" w:cs="Arial"/>
          <w:lang w:eastAsia="es-ES"/>
        </w:rPr>
        <w:t xml:space="preserve">e. </w:t>
      </w:r>
    </w:p>
    <w:p w14:paraId="7BC7BCAE" w14:textId="74D224E5" w:rsidR="00352B07" w:rsidRDefault="00352B07" w:rsidP="004674E2">
      <w:pPr>
        <w:shd w:val="clear" w:color="auto" w:fill="FFFFFF"/>
        <w:spacing w:before="120" w:after="0" w:line="240" w:lineRule="auto"/>
        <w:ind w:firstLine="708"/>
        <w:jc w:val="both"/>
        <w:rPr>
          <w:rFonts w:ascii="Bookman Old Style" w:eastAsia="Times New Roman" w:hAnsi="Bookman Old Style" w:cs="Arial"/>
          <w:lang w:eastAsia="es-ES"/>
        </w:rPr>
      </w:pPr>
      <w:r>
        <w:rPr>
          <w:rFonts w:ascii="Bookman Old Style" w:eastAsia="Times New Roman" w:hAnsi="Bookman Old Style" w:cs="Arial"/>
          <w:lang w:eastAsia="es-ES"/>
        </w:rPr>
        <w:t>Para finalizar, en el momento se encuentra en tramite un proyecto de ley</w:t>
      </w:r>
      <w:r w:rsidR="007862F4">
        <w:rPr>
          <w:rFonts w:ascii="Bookman Old Style" w:eastAsia="Times New Roman" w:hAnsi="Bookman Old Style" w:cs="Arial"/>
          <w:lang w:eastAsia="es-ES"/>
        </w:rPr>
        <w:t>, aprobado en cuarto debate de cámara,</w:t>
      </w:r>
      <w:r>
        <w:rPr>
          <w:rFonts w:ascii="Bookman Old Style" w:eastAsia="Times New Roman" w:hAnsi="Bookman Old Style" w:cs="Arial"/>
          <w:lang w:eastAsia="es-ES"/>
        </w:rPr>
        <w:t xml:space="preserve"> que demuestra la tendencia hacia el establecimiento de los documentos estándar en toda la contratación del Estado</w:t>
      </w:r>
      <w:r w:rsidR="007862F4">
        <w:rPr>
          <w:rFonts w:ascii="Bookman Old Style" w:eastAsia="Times New Roman" w:hAnsi="Bookman Old Style" w:cs="Arial"/>
          <w:lang w:eastAsia="es-ES"/>
        </w:rPr>
        <w:t xml:space="preserve">, por el cual se pretende </w:t>
      </w:r>
      <w:r w:rsidR="007862F4" w:rsidRPr="007862F4">
        <w:rPr>
          <w:rFonts w:ascii="Bookman Old Style" w:eastAsia="Times New Roman" w:hAnsi="Bookman Old Style" w:cs="Arial"/>
          <w:lang w:eastAsia="es-ES"/>
        </w:rPr>
        <w:t>modificar el artículo 4 de la Ley 1882 de 2018</w:t>
      </w:r>
      <w:r w:rsidRPr="007862F4">
        <w:rPr>
          <w:rFonts w:ascii="Bookman Old Style" w:eastAsia="Times New Roman" w:hAnsi="Bookman Old Style" w:cs="Arial"/>
          <w:lang w:eastAsia="es-ES"/>
        </w:rPr>
        <w:t>.</w:t>
      </w:r>
      <w:r w:rsidR="007862F4" w:rsidRPr="007862F4">
        <w:rPr>
          <w:rFonts w:ascii="Bookman Old Style" w:eastAsia="Times New Roman" w:hAnsi="Bookman Old Style" w:cs="Arial"/>
          <w:lang w:eastAsia="es-ES"/>
        </w:rPr>
        <w:t xml:space="preserve"> Que tiene como parte del texto aprobado que: «</w:t>
      </w:r>
      <w:r w:rsidR="007862F4" w:rsidRPr="007862F4">
        <w:rPr>
          <w:rFonts w:ascii="Bookman Old Style" w:hAnsi="Bookman Old Style"/>
        </w:rPr>
        <w:t xml:space="preserve">La Agencia Nacional de Contratación Pública – Colombia Compra Eficiente o quien haga sus veces adoptarán documentos tipo que serán de obligatorio cumplimiento en la actividad contractual de todas las </w:t>
      </w:r>
      <w:r w:rsidR="007862F4" w:rsidRPr="007862F4">
        <w:rPr>
          <w:rFonts w:ascii="Bookman Old Style" w:hAnsi="Bookman Old Style"/>
        </w:rPr>
        <w:lastRenderedPageBreak/>
        <w:t>entidades sometidas al Estatuto General de Contratación de la Administración Pública</w:t>
      </w:r>
      <w:r w:rsidR="007862F4" w:rsidRPr="007862F4">
        <w:rPr>
          <w:rFonts w:ascii="Bookman Old Style" w:hAnsi="Bookman Old Style"/>
        </w:rPr>
        <w:t>»</w:t>
      </w:r>
      <w:r w:rsidR="007862F4">
        <w:rPr>
          <w:rStyle w:val="Refdenotaalpie"/>
          <w:rFonts w:ascii="Bookman Old Style" w:hAnsi="Bookman Old Style"/>
        </w:rPr>
        <w:footnoteReference w:id="5"/>
      </w:r>
      <w:r w:rsidR="007862F4" w:rsidRPr="007862F4">
        <w:rPr>
          <w:rFonts w:ascii="Bookman Old Style" w:hAnsi="Bookman Old Style"/>
        </w:rPr>
        <w:t>.</w:t>
      </w:r>
    </w:p>
    <w:p w14:paraId="30246681" w14:textId="77777777" w:rsidR="00E9253D" w:rsidRPr="006A36F6" w:rsidRDefault="00E9253D" w:rsidP="00E9253D">
      <w:pPr>
        <w:shd w:val="clear" w:color="auto" w:fill="FFFFFF"/>
        <w:spacing w:after="0" w:line="240" w:lineRule="auto"/>
        <w:jc w:val="both"/>
        <w:rPr>
          <w:rFonts w:ascii="Bookman Old Style" w:hAnsi="Bookman Old Style"/>
          <w:b/>
          <w:bCs/>
        </w:rPr>
      </w:pPr>
    </w:p>
    <w:p w14:paraId="14937BE1" w14:textId="04F1386C" w:rsidR="00957672" w:rsidRDefault="006A36F6" w:rsidP="00E9253D">
      <w:pPr>
        <w:spacing w:after="0" w:line="276" w:lineRule="auto"/>
        <w:jc w:val="both"/>
        <w:rPr>
          <w:rFonts w:ascii="Bookman Old Style" w:hAnsi="Bookman Old Style"/>
          <w:b/>
          <w:bCs/>
        </w:rPr>
      </w:pPr>
      <w:r w:rsidRPr="006A36F6">
        <w:rPr>
          <w:rFonts w:ascii="Bookman Old Style" w:hAnsi="Bookman Old Style"/>
          <w:b/>
          <w:bCs/>
        </w:rPr>
        <w:t>2. Naturaleza jurídica de los pliegos tipo</w:t>
      </w:r>
    </w:p>
    <w:p w14:paraId="6BBABFDC" w14:textId="1E0E1C1F" w:rsidR="00BD437E" w:rsidRDefault="00BD437E" w:rsidP="0054713A">
      <w:pPr>
        <w:tabs>
          <w:tab w:val="left" w:pos="900"/>
        </w:tabs>
        <w:spacing w:after="0" w:line="276" w:lineRule="auto"/>
        <w:jc w:val="both"/>
        <w:rPr>
          <w:rFonts w:ascii="Bookman Old Style" w:hAnsi="Bookman Old Style"/>
          <w:b/>
          <w:bCs/>
        </w:rPr>
      </w:pPr>
    </w:p>
    <w:p w14:paraId="58D3BC99" w14:textId="701E87D0" w:rsidR="00CA3507" w:rsidRDefault="00BD437E" w:rsidP="0054713A">
      <w:pPr>
        <w:tabs>
          <w:tab w:val="left" w:pos="900"/>
        </w:tabs>
        <w:spacing w:after="0" w:line="276" w:lineRule="auto"/>
        <w:jc w:val="both"/>
        <w:rPr>
          <w:rFonts w:ascii="Bookman Old Style" w:hAnsi="Bookman Old Style"/>
        </w:rPr>
      </w:pPr>
      <w:r>
        <w:rPr>
          <w:rFonts w:ascii="Bookman Old Style" w:hAnsi="Bookman Old Style"/>
        </w:rPr>
        <w:t>El «documento base del pliego tipo» es el más relevante al interior de los documentos estandarizados que la Agencia, el Departamento Nacional de Planeación y el Ministerio de Transporte desarrollaron</w:t>
      </w:r>
      <w:r w:rsidR="000C71B0">
        <w:rPr>
          <w:rFonts w:ascii="Bookman Old Style" w:hAnsi="Bookman Old Style"/>
        </w:rPr>
        <w:t xml:space="preserve"> e implementaron</w:t>
      </w:r>
      <w:r w:rsidR="00282265">
        <w:rPr>
          <w:rFonts w:ascii="Bookman Old Style" w:hAnsi="Bookman Old Style"/>
        </w:rPr>
        <w:t xml:space="preserve"> y</w:t>
      </w:r>
      <w:r>
        <w:rPr>
          <w:rFonts w:ascii="Bookman Old Style" w:hAnsi="Bookman Old Style"/>
        </w:rPr>
        <w:t xml:space="preserve"> funge como el prototipo de pliego que adoptarán las entidades sometidas al Estatuto General de Contratación </w:t>
      </w:r>
      <w:r w:rsidR="000C71B0">
        <w:rPr>
          <w:rFonts w:ascii="Bookman Old Style" w:hAnsi="Bookman Old Style"/>
        </w:rPr>
        <w:t xml:space="preserve">de la Administración Pública en sus las licitaciones o selecciones abreviadas de menor cuantía </w:t>
      </w:r>
      <w:r w:rsidR="00CA3507">
        <w:rPr>
          <w:rFonts w:ascii="Bookman Old Style" w:hAnsi="Bookman Old Style"/>
        </w:rPr>
        <w:t>de infraestructura de transporte</w:t>
      </w:r>
      <w:r w:rsidR="00934212">
        <w:rPr>
          <w:rFonts w:ascii="Bookman Old Style" w:hAnsi="Bookman Old Style"/>
        </w:rPr>
        <w:t xml:space="preserve">, por ello, es </w:t>
      </w:r>
      <w:r w:rsidR="00282265">
        <w:rPr>
          <w:rFonts w:ascii="Bookman Old Style" w:hAnsi="Bookman Old Style"/>
        </w:rPr>
        <w:t>importante</w:t>
      </w:r>
      <w:r w:rsidR="00934212">
        <w:rPr>
          <w:rFonts w:ascii="Bookman Old Style" w:hAnsi="Bookman Old Style"/>
        </w:rPr>
        <w:t xml:space="preserve"> identificar su naturaleza jurídica</w:t>
      </w:r>
      <w:r w:rsidR="00CA3507">
        <w:rPr>
          <w:rFonts w:ascii="Bookman Old Style" w:hAnsi="Bookman Old Style"/>
        </w:rPr>
        <w:t xml:space="preserve">. </w:t>
      </w:r>
    </w:p>
    <w:p w14:paraId="6B00C62A" w14:textId="2DCD6CAB" w:rsidR="002F2951" w:rsidRPr="00F31162" w:rsidRDefault="002F2951" w:rsidP="0054713A">
      <w:pPr>
        <w:tabs>
          <w:tab w:val="left" w:pos="900"/>
        </w:tabs>
        <w:spacing w:before="120" w:after="0" w:line="276" w:lineRule="auto"/>
        <w:ind w:firstLine="902"/>
        <w:jc w:val="both"/>
        <w:rPr>
          <w:rFonts w:ascii="Bookman Old Style" w:hAnsi="Bookman Old Style"/>
        </w:rPr>
      </w:pPr>
      <w:r>
        <w:rPr>
          <w:rFonts w:ascii="Bookman Old Style" w:hAnsi="Bookman Old Style"/>
        </w:rPr>
        <w:t>L</w:t>
      </w:r>
      <w:r w:rsidR="00282265">
        <w:rPr>
          <w:rFonts w:ascii="Bookman Old Style" w:hAnsi="Bookman Old Style"/>
        </w:rPr>
        <w:t xml:space="preserve">os pliegos de condiciones </w:t>
      </w:r>
      <w:r>
        <w:rPr>
          <w:rFonts w:ascii="Bookman Old Style" w:hAnsi="Bookman Old Style"/>
        </w:rPr>
        <w:t>«</w:t>
      </w:r>
      <w:r w:rsidR="00282265">
        <w:rPr>
          <w:rFonts w:ascii="Bookman Old Style" w:hAnsi="Bookman Old Style"/>
        </w:rPr>
        <w:t>clásicos</w:t>
      </w:r>
      <w:r>
        <w:rPr>
          <w:rFonts w:ascii="Bookman Old Style" w:hAnsi="Bookman Old Style"/>
        </w:rPr>
        <w:t>»</w:t>
      </w:r>
      <w:r w:rsidR="00282265">
        <w:rPr>
          <w:rFonts w:ascii="Bookman Old Style" w:hAnsi="Bookman Old Style"/>
        </w:rPr>
        <w:t xml:space="preserve"> son figuras similares </w:t>
      </w:r>
      <w:r>
        <w:rPr>
          <w:rFonts w:ascii="Bookman Old Style" w:hAnsi="Bookman Old Style"/>
        </w:rPr>
        <w:t>a los estandarizados, la jurisprudencia del Consejo de Estado estudió</w:t>
      </w:r>
      <w:r w:rsidR="00F31162">
        <w:rPr>
          <w:rFonts w:ascii="Bookman Old Style" w:hAnsi="Bookman Old Style"/>
        </w:rPr>
        <w:t xml:space="preserve">, en diversas ocasiones, la naturaleza de estos documentos. Los considera, </w:t>
      </w:r>
      <w:r w:rsidR="00FD468B">
        <w:rPr>
          <w:rFonts w:ascii="Bookman Old Style" w:hAnsi="Bookman Old Style"/>
        </w:rPr>
        <w:t>hasta la adjudicación</w:t>
      </w:r>
      <w:r w:rsidR="00F31162">
        <w:rPr>
          <w:rFonts w:ascii="Bookman Old Style" w:hAnsi="Bookman Old Style"/>
        </w:rPr>
        <w:t xml:space="preserve">, como un </w:t>
      </w:r>
      <w:r w:rsidR="00F31162">
        <w:rPr>
          <w:rFonts w:ascii="Bookman Old Style" w:hAnsi="Bookman Old Style"/>
          <w:i/>
          <w:iCs/>
        </w:rPr>
        <w:t>acto administrativo</w:t>
      </w:r>
      <w:r w:rsidR="00F31162">
        <w:rPr>
          <w:rFonts w:ascii="Bookman Old Style" w:hAnsi="Bookman Old Style"/>
        </w:rPr>
        <w:t xml:space="preserve"> de carácter general con características especiales, porque puede ser de tramite o definitivo, según el destinatario</w:t>
      </w:r>
      <w:r w:rsidR="002F50D2">
        <w:rPr>
          <w:rFonts w:ascii="Bookman Old Style" w:hAnsi="Bookman Old Style"/>
        </w:rPr>
        <w:t xml:space="preserve"> y, segundo, que tiene vocación de convertirse en una «cláusula contractual»</w:t>
      </w:r>
      <w:r w:rsidR="00FD468B">
        <w:rPr>
          <w:rFonts w:ascii="Bookman Old Style" w:hAnsi="Bookman Old Style"/>
        </w:rPr>
        <w:t xml:space="preserve"> a partir de la celebración del contrato, pues muchas de las condiciones se integran a él</w:t>
      </w:r>
      <w:r w:rsidR="00C00DF0">
        <w:rPr>
          <w:rFonts w:ascii="Bookman Old Style" w:hAnsi="Bookman Old Style"/>
        </w:rPr>
        <w:t xml:space="preserve">, </w:t>
      </w:r>
      <w:r w:rsidR="002F50D2">
        <w:rPr>
          <w:rFonts w:ascii="Bookman Old Style" w:hAnsi="Bookman Old Style"/>
        </w:rPr>
        <w:t>situación en la que deja de ser un acto general y muda su naturaleza, de ahí que se entienda de naturaleza mixta</w:t>
      </w:r>
      <w:r w:rsidR="002F50D2">
        <w:rPr>
          <w:rStyle w:val="Refdenotaalpie"/>
          <w:rFonts w:ascii="Bookman Old Style" w:hAnsi="Bookman Old Style"/>
        </w:rPr>
        <w:footnoteReference w:id="6"/>
      </w:r>
      <w:r w:rsidR="002F50D2">
        <w:rPr>
          <w:rFonts w:ascii="Bookman Old Style" w:hAnsi="Bookman Old Style"/>
        </w:rPr>
        <w:t xml:space="preserve">. </w:t>
      </w:r>
    </w:p>
    <w:p w14:paraId="1E599BBE" w14:textId="751110C7" w:rsidR="00BD437E" w:rsidRDefault="002F50D2" w:rsidP="0054713A">
      <w:pPr>
        <w:tabs>
          <w:tab w:val="left" w:pos="900"/>
        </w:tabs>
        <w:spacing w:before="120" w:after="0" w:line="276" w:lineRule="auto"/>
        <w:ind w:firstLine="902"/>
        <w:jc w:val="both"/>
        <w:rPr>
          <w:rFonts w:ascii="Bookman Old Style" w:hAnsi="Bookman Old Style"/>
        </w:rPr>
      </w:pPr>
      <w:r>
        <w:rPr>
          <w:rFonts w:ascii="Bookman Old Style" w:hAnsi="Bookman Old Style"/>
        </w:rPr>
        <w:t>Si bien las figuras son similares,</w:t>
      </w:r>
      <w:r w:rsidR="002F2951">
        <w:rPr>
          <w:rFonts w:ascii="Bookman Old Style" w:hAnsi="Bookman Old Style"/>
        </w:rPr>
        <w:t xml:space="preserve"> pues establecen reglas y procedimientos para adelantar un proceso que finalizará con la escogencia de un contratista, </w:t>
      </w:r>
      <w:r w:rsidR="00C00DF0">
        <w:rPr>
          <w:rFonts w:ascii="Bookman Old Style" w:hAnsi="Bookman Old Style"/>
        </w:rPr>
        <w:t>en realidad, no son</w:t>
      </w:r>
      <w:r w:rsidR="002F2951">
        <w:rPr>
          <w:rFonts w:ascii="Bookman Old Style" w:hAnsi="Bookman Old Style"/>
        </w:rPr>
        <w:t xml:space="preserve"> iguales, </w:t>
      </w:r>
      <w:r w:rsidR="00C00DF0">
        <w:rPr>
          <w:rFonts w:ascii="Bookman Old Style" w:hAnsi="Bookman Old Style"/>
        </w:rPr>
        <w:t>puesto que</w:t>
      </w:r>
      <w:r w:rsidR="002F2951">
        <w:rPr>
          <w:rFonts w:ascii="Bookman Old Style" w:hAnsi="Bookman Old Style"/>
        </w:rPr>
        <w:t xml:space="preserve"> en </w:t>
      </w:r>
      <w:proofErr w:type="gramStart"/>
      <w:r w:rsidR="00C00DF0">
        <w:rPr>
          <w:rFonts w:ascii="Bookman Old Style" w:hAnsi="Bookman Old Style"/>
        </w:rPr>
        <w:t>los tipo</w:t>
      </w:r>
      <w:proofErr w:type="gramEnd"/>
      <w:r w:rsidR="002F2951">
        <w:rPr>
          <w:rFonts w:ascii="Bookman Old Style" w:hAnsi="Bookman Old Style"/>
        </w:rPr>
        <w:t xml:space="preserve"> las condiciones son abstrac</w:t>
      </w:r>
      <w:r w:rsidR="00C00DF0">
        <w:rPr>
          <w:rFonts w:ascii="Bookman Old Style" w:hAnsi="Bookman Old Style"/>
        </w:rPr>
        <w:t xml:space="preserve">tas, mientras que en los «clásicos» </w:t>
      </w:r>
      <w:r w:rsidR="00026C91">
        <w:rPr>
          <w:rFonts w:ascii="Bookman Old Style" w:hAnsi="Bookman Old Style"/>
        </w:rPr>
        <w:t>los requisitos que establece son definidos de forma específica de acuerdo con las necesidades de la entidad que lo elabora</w:t>
      </w:r>
      <w:r w:rsidR="002F2951">
        <w:rPr>
          <w:rFonts w:ascii="Bookman Old Style" w:hAnsi="Bookman Old Style"/>
        </w:rPr>
        <w:t>.</w:t>
      </w:r>
      <w:r w:rsidR="00026C91">
        <w:rPr>
          <w:rFonts w:ascii="Bookman Old Style" w:hAnsi="Bookman Old Style"/>
        </w:rPr>
        <w:t xml:space="preserve"> </w:t>
      </w:r>
    </w:p>
    <w:p w14:paraId="314C8CE3" w14:textId="4790DCE0" w:rsidR="00B52441" w:rsidRPr="00F727EB" w:rsidRDefault="00E354DC" w:rsidP="0054713A">
      <w:pPr>
        <w:spacing w:before="120" w:after="0" w:line="276" w:lineRule="auto"/>
        <w:ind w:firstLine="708"/>
        <w:jc w:val="both"/>
        <w:rPr>
          <w:rFonts w:ascii="Bookman Old Style" w:hAnsi="Bookman Old Style"/>
          <w:i/>
          <w:iCs/>
        </w:rPr>
      </w:pPr>
      <w:r>
        <w:rPr>
          <w:rFonts w:ascii="Bookman Old Style" w:hAnsi="Bookman Old Style"/>
        </w:rPr>
        <w:t>El estándar también es un acto administrativo general, sin embargo</w:t>
      </w:r>
      <w:r w:rsidR="00B52441">
        <w:rPr>
          <w:rFonts w:ascii="Bookman Old Style" w:hAnsi="Bookman Old Style"/>
        </w:rPr>
        <w:t>,</w:t>
      </w:r>
      <w:r>
        <w:rPr>
          <w:rFonts w:ascii="Bookman Old Style" w:hAnsi="Bookman Old Style"/>
        </w:rPr>
        <w:t xml:space="preserve"> tiene otra característica distintiva</w:t>
      </w:r>
      <w:r w:rsidR="00B52441">
        <w:rPr>
          <w:rFonts w:ascii="Bookman Old Style" w:hAnsi="Bookman Old Style"/>
        </w:rPr>
        <w:t xml:space="preserve"> que lo hace ser un </w:t>
      </w:r>
      <w:r w:rsidR="00B52441">
        <w:rPr>
          <w:rFonts w:ascii="Bookman Old Style" w:hAnsi="Bookman Old Style"/>
          <w:i/>
          <w:iCs/>
        </w:rPr>
        <w:t>reglamento ―</w:t>
      </w:r>
      <w:r w:rsidR="00B52441">
        <w:rPr>
          <w:rFonts w:ascii="Bookman Old Style" w:hAnsi="Bookman Old Style"/>
        </w:rPr>
        <w:t>una especie dentro del g</w:t>
      </w:r>
      <w:r w:rsidR="00F727EB">
        <w:rPr>
          <w:rFonts w:ascii="Bookman Old Style" w:hAnsi="Bookman Old Style"/>
        </w:rPr>
        <w:t>énero de los actos―la</w:t>
      </w:r>
      <w:r>
        <w:rPr>
          <w:rFonts w:ascii="Bookman Old Style" w:hAnsi="Bookman Old Style"/>
        </w:rPr>
        <w:t xml:space="preserve"> </w:t>
      </w:r>
      <w:r w:rsidR="00230A99">
        <w:rPr>
          <w:rFonts w:ascii="Bookman Old Style" w:hAnsi="Bookman Old Style"/>
        </w:rPr>
        <w:t xml:space="preserve">vocación de permanencia en el tiempo, es decir, </w:t>
      </w:r>
      <w:r w:rsidR="00F727EB">
        <w:rPr>
          <w:rFonts w:ascii="Bookman Old Style" w:hAnsi="Bookman Old Style"/>
        </w:rPr>
        <w:t xml:space="preserve">que </w:t>
      </w:r>
      <w:r w:rsidR="00230A99" w:rsidRPr="00957672">
        <w:rPr>
          <w:rFonts w:ascii="Bookman Old Style" w:hAnsi="Bookman Old Style"/>
        </w:rPr>
        <w:t xml:space="preserve">su vigencia no depende </w:t>
      </w:r>
      <w:r w:rsidR="00230A99">
        <w:rPr>
          <w:rFonts w:ascii="Bookman Old Style" w:hAnsi="Bookman Old Style"/>
        </w:rPr>
        <w:t>la</w:t>
      </w:r>
      <w:r w:rsidR="00230A99" w:rsidRPr="00957672">
        <w:rPr>
          <w:rFonts w:ascii="Bookman Old Style" w:hAnsi="Bookman Old Style"/>
        </w:rPr>
        <w:t xml:space="preserve"> su aplicación, pues no se extinguirá, como es el caso de diversos act</w:t>
      </w:r>
      <w:r w:rsidR="00F727EB">
        <w:rPr>
          <w:rFonts w:ascii="Bookman Old Style" w:hAnsi="Bookman Old Style"/>
        </w:rPr>
        <w:t>os</w:t>
      </w:r>
      <w:r w:rsidR="00230A99" w:rsidRPr="00957672">
        <w:rPr>
          <w:rFonts w:ascii="Bookman Old Style" w:hAnsi="Bookman Old Style"/>
        </w:rPr>
        <w:t>, sino que</w:t>
      </w:r>
      <w:r w:rsidR="00230A99">
        <w:rPr>
          <w:rFonts w:ascii="Bookman Old Style" w:hAnsi="Bookman Old Style"/>
        </w:rPr>
        <w:t>,</w:t>
      </w:r>
      <w:r w:rsidR="00230A99" w:rsidRPr="00957672">
        <w:rPr>
          <w:rFonts w:ascii="Bookman Old Style" w:hAnsi="Bookman Old Style"/>
        </w:rPr>
        <w:t xml:space="preserve"> por el contrario, será susceptible de aplica</w:t>
      </w:r>
      <w:r w:rsidR="00230A99">
        <w:rPr>
          <w:rFonts w:ascii="Bookman Old Style" w:hAnsi="Bookman Old Style"/>
        </w:rPr>
        <w:t xml:space="preserve">rse </w:t>
      </w:r>
      <w:r w:rsidR="00230A99" w:rsidRPr="00957672">
        <w:rPr>
          <w:rFonts w:ascii="Bookman Old Style" w:hAnsi="Bookman Old Style"/>
        </w:rPr>
        <w:t>reiteradamente</w:t>
      </w:r>
      <w:r w:rsidR="00B52441">
        <w:rPr>
          <w:rStyle w:val="Refdenotaalpie"/>
          <w:rFonts w:ascii="Bookman Old Style" w:hAnsi="Bookman Old Style"/>
        </w:rPr>
        <w:footnoteReference w:id="7"/>
      </w:r>
      <w:r w:rsidR="00230A99" w:rsidRPr="00957672">
        <w:rPr>
          <w:rFonts w:ascii="Bookman Old Style" w:hAnsi="Bookman Old Style"/>
        </w:rPr>
        <w:t xml:space="preserve">. </w:t>
      </w:r>
      <w:r w:rsidR="00B52441">
        <w:rPr>
          <w:rFonts w:ascii="Bookman Old Style" w:hAnsi="Bookman Old Style"/>
        </w:rPr>
        <w:t xml:space="preserve">El pliego tipo está diseñado, específicamente, para que cada una de las entidades públicas sometidas al Estatuto General de Contratación de la Administración Pública lo adopten </w:t>
      </w:r>
      <w:r w:rsidR="00F727EB">
        <w:rPr>
          <w:rFonts w:ascii="Bookman Old Style" w:hAnsi="Bookman Old Style"/>
        </w:rPr>
        <w:t>para</w:t>
      </w:r>
      <w:r w:rsidR="00B52441">
        <w:rPr>
          <w:rFonts w:ascii="Bookman Old Style" w:hAnsi="Bookman Old Style"/>
        </w:rPr>
        <w:t xml:space="preserve"> </w:t>
      </w:r>
      <w:r w:rsidR="00F727EB">
        <w:rPr>
          <w:rFonts w:ascii="Bookman Old Style" w:hAnsi="Bookman Old Style"/>
        </w:rPr>
        <w:t xml:space="preserve">el </w:t>
      </w:r>
      <w:r w:rsidR="00B52441">
        <w:rPr>
          <w:rFonts w:ascii="Bookman Old Style" w:hAnsi="Bookman Old Style"/>
        </w:rPr>
        <w:t xml:space="preserve">proceso de selección, adecuándolo a las necesidades de cada una, momento en el que </w:t>
      </w:r>
      <w:r w:rsidR="00F727EB">
        <w:rPr>
          <w:rFonts w:ascii="Bookman Old Style" w:hAnsi="Bookman Old Style"/>
        </w:rPr>
        <w:t>se integra al proceso de selección y se convierte en el pliego «clásico».</w:t>
      </w:r>
    </w:p>
    <w:p w14:paraId="6F51EAEA" w14:textId="399E7397" w:rsidR="00230A99" w:rsidRDefault="00F727EB" w:rsidP="0054713A">
      <w:pPr>
        <w:spacing w:before="120" w:after="0" w:line="276" w:lineRule="auto"/>
        <w:ind w:firstLine="708"/>
        <w:jc w:val="both"/>
        <w:rPr>
          <w:rFonts w:ascii="Bookman Old Style" w:hAnsi="Bookman Old Style"/>
        </w:rPr>
      </w:pPr>
      <w:r>
        <w:rPr>
          <w:rFonts w:ascii="Bookman Old Style" w:hAnsi="Bookman Old Style"/>
        </w:rPr>
        <w:lastRenderedPageBreak/>
        <w:t xml:space="preserve">De acuerdo con esto, este pliego cumple con los requerimientos para ser un verdadero </w:t>
      </w:r>
      <w:r>
        <w:rPr>
          <w:rFonts w:ascii="Bookman Old Style" w:hAnsi="Bookman Old Style"/>
          <w:i/>
          <w:iCs/>
        </w:rPr>
        <w:t>reglamento</w:t>
      </w:r>
      <w:r w:rsidR="00230A99" w:rsidRPr="00957672">
        <w:rPr>
          <w:rFonts w:ascii="Bookman Old Style" w:hAnsi="Bookman Old Style"/>
        </w:rPr>
        <w:t>,</w:t>
      </w:r>
      <w:r>
        <w:rPr>
          <w:rFonts w:ascii="Bookman Old Style" w:hAnsi="Bookman Old Style"/>
        </w:rPr>
        <w:t xml:space="preserve"> pues con cada aplicación, es decir, con cada adaptación que de él haga cada una de las entidades estatales</w:t>
      </w:r>
      <w:r w:rsidR="00230A99" w:rsidRPr="00957672">
        <w:rPr>
          <w:rFonts w:ascii="Bookman Old Style" w:hAnsi="Bookman Old Style"/>
        </w:rPr>
        <w:t xml:space="preserve"> no se</w:t>
      </w:r>
      <w:r>
        <w:rPr>
          <w:rFonts w:ascii="Bookman Old Style" w:hAnsi="Bookman Old Style"/>
        </w:rPr>
        <w:t xml:space="preserve"> extingue, sigue teniendo vigencia, máxime cuando su finalidad es que se adopte en todos los procesos de selección que se adelante, aunque en la actualidad se restrinja a un objeto particular. En conclusión, la naturaleza jurídica de esta figura es la de </w:t>
      </w:r>
      <w:r>
        <w:rPr>
          <w:rFonts w:ascii="Bookman Old Style" w:hAnsi="Bookman Old Style"/>
          <w:i/>
          <w:iCs/>
        </w:rPr>
        <w:t>reglamento</w:t>
      </w:r>
      <w:r w:rsidR="00230A99" w:rsidRPr="00957672">
        <w:rPr>
          <w:rFonts w:ascii="Bookman Old Style" w:hAnsi="Bookman Old Style"/>
        </w:rPr>
        <w:t>,</w:t>
      </w:r>
      <w:r>
        <w:rPr>
          <w:rFonts w:ascii="Bookman Old Style" w:hAnsi="Bookman Old Style"/>
        </w:rPr>
        <w:t xml:space="preserve"> pues es una manifestación unilateral de voluntad de la administración que produce efectos jurídicos, con vocación de permanencia en el tiempo ―puede</w:t>
      </w:r>
      <w:r w:rsidR="00230A99" w:rsidRPr="00957672">
        <w:rPr>
          <w:rFonts w:ascii="Bookman Old Style" w:hAnsi="Bookman Old Style"/>
        </w:rPr>
        <w:t xml:space="preserve"> aplica</w:t>
      </w:r>
      <w:r w:rsidR="00230A99">
        <w:rPr>
          <w:rFonts w:ascii="Bookman Old Style" w:hAnsi="Bookman Old Style"/>
        </w:rPr>
        <w:t>r</w:t>
      </w:r>
      <w:r>
        <w:rPr>
          <w:rFonts w:ascii="Bookman Old Style" w:hAnsi="Bookman Old Style"/>
        </w:rPr>
        <w:t>se</w:t>
      </w:r>
      <w:r w:rsidR="00230A99" w:rsidRPr="00957672">
        <w:rPr>
          <w:rFonts w:ascii="Bookman Old Style" w:hAnsi="Bookman Old Style"/>
        </w:rPr>
        <w:t xml:space="preserve"> incontables veces</w:t>
      </w:r>
      <w:r>
        <w:rPr>
          <w:rFonts w:ascii="Bookman Old Style" w:hAnsi="Bookman Old Style"/>
        </w:rPr>
        <w:t>―</w:t>
      </w:r>
      <w:r w:rsidR="007A7D78">
        <w:rPr>
          <w:rFonts w:ascii="Bookman Old Style" w:hAnsi="Bookman Old Style"/>
        </w:rPr>
        <w:t>, expedido en cumplimiento de una función administrativa</w:t>
      </w:r>
      <w:r w:rsidR="00230A99" w:rsidRPr="00957672">
        <w:rPr>
          <w:rFonts w:ascii="Bookman Old Style" w:hAnsi="Bookman Old Style"/>
        </w:rPr>
        <w:t>.</w:t>
      </w:r>
    </w:p>
    <w:p w14:paraId="6A42D1C5" w14:textId="6A16960E" w:rsidR="007A7D78" w:rsidRDefault="007A7D78" w:rsidP="0054713A">
      <w:pPr>
        <w:spacing w:before="120" w:after="0" w:line="276" w:lineRule="auto"/>
        <w:ind w:firstLine="708"/>
        <w:jc w:val="both"/>
        <w:rPr>
          <w:rFonts w:ascii="Bookman Old Style" w:hAnsi="Bookman Old Style"/>
        </w:rPr>
      </w:pPr>
      <w:r>
        <w:rPr>
          <w:rFonts w:ascii="Bookman Old Style" w:hAnsi="Bookman Old Style"/>
        </w:rPr>
        <w:t xml:space="preserve">Si bien hasta este punto parece una definición pacífica, puede problematizarse al analizar la sentencia del Consejo de Estado donde se analiza la validez del artículo 159 del Decreto 1510 de 2013, pues en ella puede inferirse que se negó la potestad reglamentaria de Colombia Compra Eficiente, señalando que es exclusiva del presidente, cuando </w:t>
      </w:r>
      <w:r w:rsidR="004C01E4">
        <w:rPr>
          <w:rFonts w:ascii="Bookman Old Style" w:hAnsi="Bookman Old Style"/>
        </w:rPr>
        <w:t>expresó</w:t>
      </w:r>
      <w:r>
        <w:rPr>
          <w:rFonts w:ascii="Bookman Old Style" w:hAnsi="Bookman Old Style"/>
        </w:rPr>
        <w:t xml:space="preserve"> que </w:t>
      </w:r>
    </w:p>
    <w:p w14:paraId="6C875BB6" w14:textId="77777777" w:rsidR="007A7D78" w:rsidRDefault="007A7D78" w:rsidP="007A7D78">
      <w:pPr>
        <w:spacing w:after="0" w:line="276" w:lineRule="auto"/>
        <w:jc w:val="both"/>
        <w:rPr>
          <w:rFonts w:ascii="Bookman Old Style" w:hAnsi="Bookman Old Style"/>
        </w:rPr>
      </w:pPr>
    </w:p>
    <w:p w14:paraId="0EC53735" w14:textId="3D2404CF" w:rsidR="007A7D78" w:rsidRPr="004C01E4" w:rsidRDefault="004C01E4" w:rsidP="007A7D78">
      <w:pPr>
        <w:spacing w:after="0" w:line="240" w:lineRule="auto"/>
        <w:ind w:left="709" w:right="709"/>
        <w:jc w:val="both"/>
        <w:rPr>
          <w:rFonts w:ascii="Bookman Old Style" w:hAnsi="Bookman Old Style"/>
          <w:sz w:val="21"/>
          <w:szCs w:val="21"/>
        </w:rPr>
      </w:pPr>
      <w:r>
        <w:rPr>
          <w:rFonts w:ascii="Bookman Old Style" w:eastAsia="Times New Roman" w:hAnsi="Bookman Old Style" w:cs="Arial"/>
          <w:sz w:val="21"/>
          <w:szCs w:val="21"/>
          <w:lang w:val="es-ES" w:eastAsia="es-ES"/>
        </w:rPr>
        <w:t>«</w:t>
      </w:r>
      <w:r w:rsidR="007A7D78" w:rsidRPr="007A7D78">
        <w:rPr>
          <w:rFonts w:ascii="Bookman Old Style" w:eastAsia="Times New Roman" w:hAnsi="Bookman Old Style" w:cs="Arial"/>
          <w:sz w:val="21"/>
          <w:szCs w:val="21"/>
          <w:lang w:val="es-ES" w:eastAsia="es-ES"/>
        </w:rPr>
        <w:t xml:space="preserve">Tampoco es correcta la afirmación de la Agencia Nacional de Contratación Pública, cuando señala que ha sido investida con alguna suerte de facultad </w:t>
      </w:r>
      <w:r w:rsidR="007A7D78" w:rsidRPr="004C01E4">
        <w:rPr>
          <w:rFonts w:ascii="Bookman Old Style" w:eastAsia="Times New Roman" w:hAnsi="Bookman Old Style" w:cs="Arial"/>
          <w:sz w:val="21"/>
          <w:szCs w:val="21"/>
          <w:lang w:val="es-ES" w:eastAsia="es-ES"/>
        </w:rPr>
        <w:t xml:space="preserve">reglamentaria, propia del </w:t>
      </w:r>
      <w:proofErr w:type="gramStart"/>
      <w:r w:rsidR="007A7D78" w:rsidRPr="004C01E4">
        <w:rPr>
          <w:rFonts w:ascii="Bookman Old Style" w:eastAsia="Times New Roman" w:hAnsi="Bookman Old Style" w:cs="Arial"/>
          <w:sz w:val="21"/>
          <w:szCs w:val="21"/>
          <w:lang w:val="es-ES" w:eastAsia="es-ES"/>
        </w:rPr>
        <w:t>Presidente</w:t>
      </w:r>
      <w:proofErr w:type="gramEnd"/>
      <w:r w:rsidR="007A7D78" w:rsidRPr="004C01E4">
        <w:rPr>
          <w:rFonts w:ascii="Bookman Old Style" w:eastAsia="Times New Roman" w:hAnsi="Bookman Old Style" w:cs="Arial"/>
          <w:sz w:val="21"/>
          <w:szCs w:val="21"/>
          <w:lang w:val="es-ES" w:eastAsia="es-ES"/>
        </w:rPr>
        <w:t xml:space="preserve"> de la República. No se desprende del texto demandado que Colombia Compra Eficiente haya sido investida de facultad reglamentaria alguna, pues en los términos en que fue redactado y del contexto de las normas que regulan el funcionamiento de Colombia Compra Eficiente, ninguna obligatoriedad podría imponerse respecto de los pliegos de condiciones tipo para la contratación, que debe diseñar e implementar</w:t>
      </w:r>
      <w:r>
        <w:rPr>
          <w:rFonts w:ascii="Bookman Old Style" w:eastAsia="Times New Roman" w:hAnsi="Bookman Old Style" w:cs="Arial"/>
          <w:sz w:val="21"/>
          <w:szCs w:val="21"/>
          <w:lang w:val="es-ES" w:eastAsia="es-ES"/>
        </w:rPr>
        <w:t>»</w:t>
      </w:r>
      <w:r w:rsidRPr="004C01E4">
        <w:rPr>
          <w:rStyle w:val="Refdenotaalpie"/>
          <w:rFonts w:ascii="Bookman Old Style" w:eastAsia="Times New Roman" w:hAnsi="Bookman Old Style" w:cs="Arial"/>
          <w:sz w:val="21"/>
          <w:szCs w:val="21"/>
          <w:lang w:val="es-ES" w:eastAsia="es-ES"/>
        </w:rPr>
        <w:footnoteReference w:id="8"/>
      </w:r>
      <w:r w:rsidR="007A7D78" w:rsidRPr="004C01E4">
        <w:rPr>
          <w:rFonts w:ascii="Bookman Old Style" w:eastAsia="Times New Roman" w:hAnsi="Bookman Old Style" w:cs="Arial"/>
          <w:sz w:val="21"/>
          <w:szCs w:val="21"/>
          <w:lang w:val="es-ES" w:eastAsia="es-ES"/>
        </w:rPr>
        <w:t>.</w:t>
      </w:r>
    </w:p>
    <w:p w14:paraId="777F9D08" w14:textId="7C6CB025" w:rsidR="006A36F6" w:rsidRDefault="006A36F6" w:rsidP="009D6F5D">
      <w:pPr>
        <w:spacing w:after="0" w:line="276" w:lineRule="auto"/>
        <w:jc w:val="both"/>
        <w:rPr>
          <w:rFonts w:ascii="Bookman Old Style" w:hAnsi="Bookman Old Style"/>
          <w:b/>
          <w:bCs/>
        </w:rPr>
      </w:pPr>
    </w:p>
    <w:p w14:paraId="1C03F1EE" w14:textId="3A01DD37" w:rsidR="004174F3" w:rsidRPr="00B46A24" w:rsidRDefault="004C01E4" w:rsidP="0054713A">
      <w:pPr>
        <w:spacing w:before="120" w:after="0" w:line="276" w:lineRule="auto"/>
        <w:ind w:firstLine="708"/>
        <w:jc w:val="both"/>
        <w:rPr>
          <w:rFonts w:ascii="Bookman Old Style" w:hAnsi="Bookman Old Style"/>
        </w:rPr>
      </w:pPr>
      <w:r>
        <w:rPr>
          <w:rFonts w:ascii="Bookman Old Style" w:hAnsi="Bookman Old Style"/>
          <w:color w:val="000000"/>
          <w:shd w:val="clear" w:color="auto" w:fill="FFFFFF"/>
        </w:rPr>
        <w:t xml:space="preserve">Sin perjuicio de lo expresado en la providencia, </w:t>
      </w:r>
      <w:r w:rsidR="00355CD2">
        <w:rPr>
          <w:rFonts w:ascii="Bookman Old Style" w:hAnsi="Bookman Old Style"/>
          <w:color w:val="000000"/>
          <w:shd w:val="clear" w:color="auto" w:fill="FFFFFF"/>
        </w:rPr>
        <w:t xml:space="preserve">aquí se sostendrá que la Agencia tiene, efectivamente, la potestad reglamentaria. Es claro que el Decreto </w:t>
      </w:r>
      <w:r w:rsidR="004174F3">
        <w:rPr>
          <w:rFonts w:ascii="Bookman Old Style" w:hAnsi="Bookman Old Style"/>
          <w:color w:val="000000"/>
          <w:shd w:val="clear" w:color="auto" w:fill="FFFFFF"/>
        </w:rPr>
        <w:t>4170 de 2011 le otorga a Colombia Compra Eficiente una facultad normativa, debido a que</w:t>
      </w:r>
      <w:r w:rsidR="004174F3" w:rsidRPr="004174F3">
        <w:rPr>
          <w:rFonts w:ascii="Bookman Old Style" w:hAnsi="Bookman Old Style"/>
          <w:color w:val="000000"/>
          <w:shd w:val="clear" w:color="auto" w:fill="FFFFFF"/>
        </w:rPr>
        <w:t xml:space="preserve"> </w:t>
      </w:r>
      <w:r w:rsidR="004174F3">
        <w:rPr>
          <w:rFonts w:ascii="Bookman Old Style" w:hAnsi="Bookman Old Style"/>
          <w:color w:val="000000"/>
          <w:shd w:val="clear" w:color="auto" w:fill="FFFFFF"/>
        </w:rPr>
        <w:t xml:space="preserve">en </w:t>
      </w:r>
      <w:r w:rsidR="004174F3" w:rsidRPr="00B579B9">
        <w:rPr>
          <w:rFonts w:ascii="Bookman Old Style" w:hAnsi="Bookman Old Style"/>
          <w:color w:val="000000"/>
          <w:shd w:val="clear" w:color="auto" w:fill="FFFFFF"/>
        </w:rPr>
        <w:t>el</w:t>
      </w:r>
      <w:r w:rsidR="004174F3">
        <w:rPr>
          <w:rFonts w:ascii="Bookman Old Style" w:hAnsi="Bookman Old Style"/>
          <w:color w:val="000000"/>
          <w:shd w:val="clear" w:color="auto" w:fill="FFFFFF"/>
        </w:rPr>
        <w:t xml:space="preserve"> artículo 3, numeral 2, </w:t>
      </w:r>
      <w:r w:rsidR="004174F3" w:rsidRPr="00B579B9">
        <w:rPr>
          <w:rFonts w:ascii="Bookman Old Style" w:hAnsi="Bookman Old Style"/>
          <w:color w:val="000000"/>
          <w:shd w:val="clear" w:color="auto" w:fill="FFFFFF"/>
        </w:rPr>
        <w:t>establece que la Agencia ejerce la función de: «</w:t>
      </w:r>
      <w:r w:rsidR="004174F3" w:rsidRPr="00B579B9">
        <w:rPr>
          <w:rFonts w:ascii="Bookman Old Style" w:hAnsi="Bookman Old Style"/>
        </w:rPr>
        <w:t xml:space="preserve">Desarrollar, implementar y difundir las políticas públicas, planes, programas, normas, instrumentos y herramientas que faciliten las compras y contratación pública del </w:t>
      </w:r>
      <w:r w:rsidR="004174F3" w:rsidRPr="00B46A24">
        <w:rPr>
          <w:rFonts w:ascii="Bookman Old Style" w:hAnsi="Bookman Old Style"/>
        </w:rPr>
        <w:t>Estado y promuevan las mejores prácticas, la eficiencia, transparencia y competitividad del mismo, a fin de que se cumplan los principios y procesos generales que deben gobernar la actividad contractual de las entidades públicas».</w:t>
      </w:r>
    </w:p>
    <w:p w14:paraId="73989FBA" w14:textId="11148A21" w:rsidR="00B46A24" w:rsidRPr="00B46A24" w:rsidRDefault="00B46A24" w:rsidP="0054713A">
      <w:pPr>
        <w:spacing w:before="120" w:after="0" w:line="276" w:lineRule="auto"/>
        <w:ind w:firstLine="708"/>
        <w:jc w:val="both"/>
        <w:rPr>
          <w:rFonts w:ascii="Bookman Old Style" w:eastAsia="Times New Roman" w:hAnsi="Bookman Old Style" w:cs="Arial"/>
          <w:i/>
          <w:lang w:val="es-ES" w:eastAsia="es-ES"/>
        </w:rPr>
      </w:pPr>
      <w:r w:rsidRPr="00B46A24">
        <w:rPr>
          <w:rFonts w:ascii="Bookman Old Style" w:hAnsi="Bookman Old Style"/>
        </w:rPr>
        <w:t xml:space="preserve">Es evidente que en ocasiones esta facultad deriva en </w:t>
      </w:r>
      <w:r w:rsidRPr="00B46A24">
        <w:rPr>
          <w:rFonts w:ascii="Bookman Old Style" w:hAnsi="Bookman Old Style"/>
          <w:i/>
          <w:iCs/>
        </w:rPr>
        <w:t xml:space="preserve">reglamentos </w:t>
      </w:r>
      <w:r w:rsidRPr="00B46A24">
        <w:rPr>
          <w:rFonts w:ascii="Bookman Old Style" w:hAnsi="Bookman Old Style"/>
        </w:rPr>
        <w:t xml:space="preserve">que no </w:t>
      </w:r>
      <w:r w:rsidR="004C01E4" w:rsidRPr="00B46A24">
        <w:rPr>
          <w:rFonts w:ascii="Bookman Old Style" w:hAnsi="Bookman Old Style"/>
        </w:rPr>
        <w:t>debe</w:t>
      </w:r>
      <w:r w:rsidRPr="00B46A24">
        <w:rPr>
          <w:rFonts w:ascii="Bookman Old Style" w:hAnsi="Bookman Old Style"/>
        </w:rPr>
        <w:t>n</w:t>
      </w:r>
      <w:r w:rsidR="004C01E4" w:rsidRPr="00B46A24">
        <w:rPr>
          <w:rFonts w:ascii="Bookman Old Style" w:hAnsi="Bookman Old Style"/>
        </w:rPr>
        <w:t xml:space="preserve"> sustituir </w:t>
      </w:r>
      <w:r w:rsidRPr="00B46A24">
        <w:rPr>
          <w:rFonts w:ascii="Bookman Old Style" w:hAnsi="Bookman Old Style"/>
        </w:rPr>
        <w:t xml:space="preserve">a </w:t>
      </w:r>
      <w:r w:rsidR="004C01E4" w:rsidRPr="00B46A24">
        <w:rPr>
          <w:rFonts w:ascii="Bookman Old Style" w:hAnsi="Bookman Old Style"/>
        </w:rPr>
        <w:t>la</w:t>
      </w:r>
      <w:r w:rsidRPr="00B46A24">
        <w:rPr>
          <w:rFonts w:ascii="Bookman Old Style" w:hAnsi="Bookman Old Style"/>
        </w:rPr>
        <w:t xml:space="preserve"> potestad</w:t>
      </w:r>
      <w:r w:rsidR="004C01E4" w:rsidRPr="00B46A24">
        <w:rPr>
          <w:rFonts w:ascii="Bookman Old Style" w:hAnsi="Bookman Old Style"/>
        </w:rPr>
        <w:t xml:space="preserve"> que el presidente tiene por mandato constitucional,</w:t>
      </w:r>
      <w:r w:rsidRPr="00B46A24">
        <w:rPr>
          <w:rFonts w:ascii="Bookman Old Style" w:hAnsi="Bookman Old Style"/>
        </w:rPr>
        <w:t xml:space="preserve"> pero si</w:t>
      </w:r>
      <w:r w:rsidR="004C01E4" w:rsidRPr="00B46A24">
        <w:rPr>
          <w:rFonts w:ascii="Bookman Old Style" w:hAnsi="Bookman Old Style"/>
        </w:rPr>
        <w:t xml:space="preserve"> le es permitido dictar</w:t>
      </w:r>
      <w:r w:rsidRPr="00B46A24">
        <w:rPr>
          <w:rFonts w:ascii="Bookman Old Style" w:hAnsi="Bookman Old Style"/>
        </w:rPr>
        <w:t>los</w:t>
      </w:r>
      <w:r w:rsidR="004C01E4" w:rsidRPr="00B46A24">
        <w:rPr>
          <w:rFonts w:ascii="Bookman Old Style" w:hAnsi="Bookman Old Style"/>
        </w:rPr>
        <w:t xml:space="preserve"> de un grado inferior a estos</w:t>
      </w:r>
      <w:r w:rsidRPr="00B46A24">
        <w:rPr>
          <w:rFonts w:ascii="Bookman Old Style" w:hAnsi="Bookman Old Style"/>
        </w:rPr>
        <w:t xml:space="preserve">. El Consejo de Estado reconoce la posibilidad de que existan normas reglamentarias de diferentes grados de acuerdo con la estructura jerárquica del Estado, al respecto expresó que esa graduación se debe hacer: </w:t>
      </w:r>
      <w:r>
        <w:rPr>
          <w:rFonts w:ascii="Bookman Old Style" w:eastAsia="Times New Roman" w:hAnsi="Bookman Old Style" w:cs="Arial"/>
          <w:i/>
          <w:lang w:val="es-ES" w:eastAsia="es-ES"/>
        </w:rPr>
        <w:t>«</w:t>
      </w:r>
      <w:r>
        <w:rPr>
          <w:rFonts w:ascii="Bookman Old Style" w:eastAsia="Times New Roman" w:hAnsi="Bookman Old Style" w:cs="Arial"/>
          <w:iCs/>
          <w:lang w:val="es-ES" w:eastAsia="es-ES"/>
        </w:rPr>
        <w:t>[…[</w:t>
      </w:r>
      <w:r w:rsidRPr="00B46A24">
        <w:rPr>
          <w:rFonts w:ascii="Bookman Old Style" w:eastAsia="Times New Roman" w:hAnsi="Bookman Old Style" w:cs="Arial"/>
          <w:lang w:val="es-ES" w:eastAsia="es-ES"/>
        </w:rPr>
        <w:t xml:space="preserve"> reservando los reglamentos de primer grado, a aquellos que frente a la ley, profiere el presidente de la República en ejercicio de la </w:t>
      </w:r>
      <w:r w:rsidRPr="00B46A24">
        <w:rPr>
          <w:rFonts w:ascii="Bookman Old Style" w:eastAsia="Times New Roman" w:hAnsi="Bookman Old Style" w:cs="Arial"/>
          <w:lang w:val="es-ES" w:eastAsia="es-ES"/>
        </w:rPr>
        <w:lastRenderedPageBreak/>
        <w:t>facultad otorgada por el numeral 11 del artículo 189 de la Constitución Política, y a los proferidos por las demás autoridades a las que constitucionalmente se les atribuyó también la posibilidad de reglamentar directamente la ley</w:t>
      </w:r>
      <w:r>
        <w:rPr>
          <w:rFonts w:ascii="Bookman Old Style" w:eastAsia="Times New Roman" w:hAnsi="Bookman Old Style" w:cs="Arial"/>
          <w:lang w:val="es-ES" w:eastAsia="es-ES"/>
        </w:rPr>
        <w:t>»</w:t>
      </w:r>
      <w:r w:rsidRPr="00B46A24">
        <w:rPr>
          <w:rFonts w:ascii="Bookman Old Style" w:eastAsia="Times New Roman" w:hAnsi="Bookman Old Style" w:cs="Arial"/>
          <w:lang w:val="es-ES" w:eastAsia="es-ES"/>
        </w:rPr>
        <w:t xml:space="preserve">. </w:t>
      </w:r>
    </w:p>
    <w:p w14:paraId="7259F51D" w14:textId="7224E824" w:rsidR="004174F3" w:rsidRPr="00957672" w:rsidRDefault="00B46A24" w:rsidP="0054713A">
      <w:pPr>
        <w:spacing w:before="120" w:after="0" w:line="276" w:lineRule="auto"/>
        <w:ind w:firstLine="708"/>
        <w:jc w:val="both"/>
        <w:rPr>
          <w:rFonts w:ascii="Bookman Old Style" w:hAnsi="Bookman Old Style"/>
        </w:rPr>
      </w:pPr>
      <w:r>
        <w:rPr>
          <w:rFonts w:ascii="Bookman Old Style" w:hAnsi="Bookman Old Style"/>
        </w:rPr>
        <w:t>En concordancia, la Corporación</w:t>
      </w:r>
      <w:r w:rsidR="004174F3" w:rsidRPr="00957672">
        <w:rPr>
          <w:rFonts w:ascii="Bookman Old Style" w:hAnsi="Bookman Old Style"/>
        </w:rPr>
        <w:t xml:space="preserve"> avala la asignación de estas facultades</w:t>
      </w:r>
      <w:r>
        <w:rPr>
          <w:rFonts w:ascii="Bookman Old Style" w:hAnsi="Bookman Old Style"/>
        </w:rPr>
        <w:t xml:space="preserve"> normativas</w:t>
      </w:r>
      <w:r w:rsidR="004174F3" w:rsidRPr="00957672">
        <w:rPr>
          <w:rFonts w:ascii="Bookman Old Style" w:hAnsi="Bookman Old Style"/>
        </w:rPr>
        <w:t xml:space="preserve">, respetando, siempre, la estructura jerarquizada de fuentes normativas que contiene la constitución, en otras palabras, es preciso que órganos administrativos como la Agencia ejerzan sus funciones con observancia de las normas superiores; constitución, leyes y reglamentos de mayor grado, especialmente, los expedidos por el presidente de la república. </w:t>
      </w:r>
    </w:p>
    <w:p w14:paraId="001D437D" w14:textId="40C265C4" w:rsidR="004174F3" w:rsidRDefault="004174F3" w:rsidP="0054713A">
      <w:pPr>
        <w:spacing w:before="120" w:after="0" w:line="276" w:lineRule="auto"/>
        <w:ind w:firstLine="708"/>
        <w:jc w:val="both"/>
        <w:rPr>
          <w:rFonts w:ascii="Bookman Old Style" w:hAnsi="Bookman Old Style"/>
        </w:rPr>
      </w:pPr>
      <w:r w:rsidRPr="00957672">
        <w:rPr>
          <w:rFonts w:ascii="Bookman Old Style" w:hAnsi="Bookman Old Style"/>
        </w:rPr>
        <w:t>También es claro que el Gobierno en cabeza del presidente de la república</w:t>
      </w:r>
      <w:r>
        <w:rPr>
          <w:rFonts w:ascii="Bookman Old Style" w:hAnsi="Bookman Old Style"/>
        </w:rPr>
        <w:t>,</w:t>
      </w:r>
      <w:r w:rsidRPr="00957672">
        <w:rPr>
          <w:rFonts w:ascii="Bookman Old Style" w:hAnsi="Bookman Old Style"/>
        </w:rPr>
        <w:t xml:space="preserve"> no puede transferir a otra entidad la potestad que la Constitución le confiere, </w:t>
      </w:r>
      <w:proofErr w:type="spellStart"/>
      <w:r>
        <w:rPr>
          <w:rFonts w:ascii="Bookman Old Style" w:hAnsi="Bookman Old Style"/>
        </w:rPr>
        <w:t>por</w:t>
      </w:r>
      <w:r w:rsidRPr="00957672">
        <w:rPr>
          <w:rFonts w:ascii="Bookman Old Style" w:hAnsi="Bookman Old Style"/>
        </w:rPr>
        <w:t xml:space="preserve"> que</w:t>
      </w:r>
      <w:proofErr w:type="spellEnd"/>
      <w:r w:rsidRPr="00957672">
        <w:rPr>
          <w:rFonts w:ascii="Bookman Old Style" w:hAnsi="Bookman Old Style"/>
        </w:rPr>
        <w:t xml:space="preserve"> </w:t>
      </w:r>
      <w:r>
        <w:rPr>
          <w:rFonts w:ascii="Bookman Old Style" w:hAnsi="Bookman Old Style"/>
        </w:rPr>
        <w:t>es</w:t>
      </w:r>
      <w:r w:rsidRPr="00957672">
        <w:rPr>
          <w:rFonts w:ascii="Bookman Old Style" w:hAnsi="Bookman Old Style"/>
        </w:rPr>
        <w:t xml:space="preserve"> inalienable y, por lo tanto, se configura como una extralimitación de su competencia</w:t>
      </w:r>
      <w:r>
        <w:rPr>
          <w:rFonts w:ascii="Bookman Old Style" w:hAnsi="Bookman Old Style"/>
        </w:rPr>
        <w:t>.</w:t>
      </w:r>
      <w:r w:rsidRPr="00957672">
        <w:rPr>
          <w:rFonts w:ascii="Bookman Old Style" w:hAnsi="Bookman Old Style"/>
        </w:rPr>
        <w:t xml:space="preserve"> </w:t>
      </w:r>
      <w:r>
        <w:rPr>
          <w:rFonts w:ascii="Bookman Old Style" w:hAnsi="Bookman Old Style"/>
        </w:rPr>
        <w:t>E</w:t>
      </w:r>
      <w:r w:rsidRPr="00957672">
        <w:rPr>
          <w:rFonts w:ascii="Bookman Old Style" w:hAnsi="Bookman Old Style"/>
        </w:rPr>
        <w:t xml:space="preserve">s posible </w:t>
      </w:r>
      <w:r>
        <w:rPr>
          <w:rFonts w:ascii="Bookman Old Style" w:hAnsi="Bookman Old Style"/>
        </w:rPr>
        <w:t>q</w:t>
      </w:r>
      <w:r w:rsidRPr="00957672">
        <w:rPr>
          <w:rFonts w:ascii="Bookman Old Style" w:hAnsi="Bookman Old Style"/>
        </w:rPr>
        <w:t>ue el reglamento otorgue la potestad a otra entidad, siempre y cuando,</w:t>
      </w:r>
      <w:r>
        <w:rPr>
          <w:rFonts w:ascii="Bookman Old Style" w:hAnsi="Bookman Old Style"/>
        </w:rPr>
        <w:t xml:space="preserve"> </w:t>
      </w:r>
      <w:r w:rsidRPr="00957672">
        <w:rPr>
          <w:rFonts w:ascii="Bookman Old Style" w:hAnsi="Bookman Old Style"/>
        </w:rPr>
        <w:t>el presidente d</w:t>
      </w:r>
      <w:r>
        <w:rPr>
          <w:rFonts w:ascii="Bookman Old Style" w:hAnsi="Bookman Old Style"/>
        </w:rPr>
        <w:t xml:space="preserve"> la haya ejercido</w:t>
      </w:r>
      <w:r w:rsidRPr="00957672">
        <w:rPr>
          <w:rFonts w:ascii="Bookman Old Style" w:hAnsi="Bookman Old Style"/>
        </w:rPr>
        <w:t xml:space="preserve">, entendiendo que es obligación que se prescriban aspectos mínimos para que a partir de ahí Colombia Compra Eficiente ejerza </w:t>
      </w:r>
      <w:r>
        <w:rPr>
          <w:rFonts w:ascii="Bookman Old Style" w:hAnsi="Bookman Old Style"/>
        </w:rPr>
        <w:t xml:space="preserve">la </w:t>
      </w:r>
      <w:r w:rsidRPr="00957672">
        <w:rPr>
          <w:rFonts w:ascii="Bookman Old Style" w:hAnsi="Bookman Old Style"/>
        </w:rPr>
        <w:t>potestad reglamentaria.</w:t>
      </w:r>
    </w:p>
    <w:p w14:paraId="7CC6E70B" w14:textId="77777777" w:rsidR="009044A6" w:rsidRPr="00957672" w:rsidRDefault="009044A6" w:rsidP="0054713A">
      <w:pPr>
        <w:spacing w:before="120" w:after="0" w:line="276" w:lineRule="auto"/>
        <w:ind w:firstLine="708"/>
        <w:jc w:val="both"/>
        <w:rPr>
          <w:rFonts w:ascii="Bookman Old Style" w:hAnsi="Bookman Old Style"/>
        </w:rPr>
      </w:pPr>
    </w:p>
    <w:p w14:paraId="702A3E8A" w14:textId="4300E309" w:rsidR="009044A6" w:rsidRPr="006A36F6" w:rsidRDefault="009044A6" w:rsidP="009044A6">
      <w:pPr>
        <w:spacing w:after="0" w:line="276" w:lineRule="auto"/>
        <w:jc w:val="both"/>
        <w:rPr>
          <w:rFonts w:ascii="Bookman Old Style" w:hAnsi="Bookman Old Style"/>
          <w:b/>
          <w:bCs/>
        </w:rPr>
      </w:pPr>
      <w:r>
        <w:rPr>
          <w:rFonts w:ascii="Bookman Old Style" w:hAnsi="Bookman Old Style"/>
          <w:b/>
          <w:bCs/>
        </w:rPr>
        <w:t>3</w:t>
      </w:r>
      <w:r w:rsidRPr="006A36F6">
        <w:rPr>
          <w:rFonts w:ascii="Bookman Old Style" w:hAnsi="Bookman Old Style"/>
          <w:b/>
          <w:bCs/>
        </w:rPr>
        <w:t xml:space="preserve">. Documentos tipo: límite a la autonomía de la voluntad </w:t>
      </w:r>
    </w:p>
    <w:p w14:paraId="1FAE31DD" w14:textId="77777777" w:rsidR="009044A6" w:rsidRDefault="009044A6" w:rsidP="009044A6">
      <w:pPr>
        <w:spacing w:after="0" w:line="276" w:lineRule="auto"/>
        <w:jc w:val="both"/>
        <w:rPr>
          <w:rFonts w:ascii="Bookman Old Style" w:hAnsi="Bookman Old Style"/>
        </w:rPr>
      </w:pPr>
    </w:p>
    <w:p w14:paraId="78BBBD54" w14:textId="77777777" w:rsidR="009044A6" w:rsidRDefault="009044A6" w:rsidP="009044A6">
      <w:pPr>
        <w:spacing w:after="0" w:line="276" w:lineRule="auto"/>
        <w:jc w:val="both"/>
        <w:rPr>
          <w:rFonts w:ascii="Bookman Old Style" w:hAnsi="Bookman Old Style"/>
        </w:rPr>
      </w:pPr>
      <w:r>
        <w:rPr>
          <w:rFonts w:ascii="Bookman Old Style" w:hAnsi="Bookman Old Style"/>
        </w:rPr>
        <w:t>Desde la expedición de la Ley 80 de 1993 se estableció como principio de la contratación estatal la autonomía de la voluntad, que le da a las entidades la posibilidad de actuar de forma dinámica y eficiente, pues el nuevo Estatuto General de Contratación de la Administración Pública surgió, entre otras cosas, como alternativa a los problemas que implicaba para los negocios del Estado la regulación del Decreto 222 de 1983, pues tenía una importante carga de requisitos para el perfeccionamiento del negocio, su adjudicación y ejecución.</w:t>
      </w:r>
    </w:p>
    <w:p w14:paraId="555B3BBF" w14:textId="77777777" w:rsidR="009044A6" w:rsidRDefault="009044A6" w:rsidP="009044A6">
      <w:pPr>
        <w:spacing w:before="120" w:after="0" w:line="276" w:lineRule="auto"/>
        <w:jc w:val="both"/>
        <w:rPr>
          <w:rFonts w:ascii="Bookman Old Style" w:hAnsi="Bookman Old Style"/>
        </w:rPr>
      </w:pPr>
      <w:r>
        <w:rPr>
          <w:rFonts w:ascii="Bookman Old Style" w:hAnsi="Bookman Old Style"/>
        </w:rPr>
        <w:tab/>
        <w:t xml:space="preserve">Es así como la capacidad de maniobrabilidad que comportó la Ley 80 para la contratación del Estado se constituyó, por mucho tiempo, como principio rector; sin embargo, la aparición de nuevas realidades en el contexto de la actividad administrativa decantó la normativa por principios diferentes, es así como la Ley 1882 de 2018 y en general, las normas a las que ya se hizo referencia, cambian la libertad contractual que se había instituido. </w:t>
      </w:r>
    </w:p>
    <w:p w14:paraId="280FEE86" w14:textId="77777777" w:rsidR="009044A6" w:rsidRDefault="009044A6" w:rsidP="009044A6">
      <w:pPr>
        <w:spacing w:before="120" w:after="0" w:line="276" w:lineRule="auto"/>
        <w:jc w:val="both"/>
        <w:rPr>
          <w:rFonts w:ascii="Bookman Old Style" w:hAnsi="Bookman Old Style"/>
        </w:rPr>
      </w:pPr>
      <w:r>
        <w:rPr>
          <w:rFonts w:ascii="Bookman Old Style" w:hAnsi="Bookman Old Style"/>
        </w:rPr>
        <w:tab/>
        <w:t xml:space="preserve">Los actos de corrupción documentados en el país, especialmente en lo referente a aquellos en los que se contempla que se elaboran pliegos de condiciones a la medida de un único oferente, limitando de forma contundente la libre concurrencia, implicó que las autoridades en desarrollo y aplicación de una política de transparencia en la contratación estatal, que busca materializar, entre otros, los principios de transparencia, moralidad y selección objetiva, crearan, especialmente, pliegos y en general documentos estandarizados. </w:t>
      </w:r>
    </w:p>
    <w:p w14:paraId="063E3FE2" w14:textId="14129D86" w:rsidR="009044A6" w:rsidRDefault="009044A6" w:rsidP="009044A6">
      <w:pPr>
        <w:spacing w:before="120" w:after="0" w:line="276" w:lineRule="auto"/>
        <w:jc w:val="both"/>
        <w:rPr>
          <w:rFonts w:ascii="Bookman Old Style" w:hAnsi="Bookman Old Style"/>
        </w:rPr>
      </w:pPr>
      <w:r>
        <w:rPr>
          <w:rFonts w:ascii="Bookman Old Style" w:hAnsi="Bookman Old Style"/>
        </w:rPr>
        <w:tab/>
        <w:t xml:space="preserve">Es claro que la implementación de estas estrategias de unificación crea una tensión entre la dinámica que facilita la autonomía de la voluntad y la rigidez que </w:t>
      </w:r>
      <w:r>
        <w:rPr>
          <w:rFonts w:ascii="Bookman Old Style" w:hAnsi="Bookman Old Style"/>
        </w:rPr>
        <w:lastRenderedPageBreak/>
        <w:t>implica normalizar documentos y procedimientos contractuales. También, que el legislador se decantó por unos valores diferentes a aquellos con los que nació el actual Estatuto General, pues responde a situaciones disimiles a las de la década del noventa y que los pliegos tipo convierten a la normativa contractual en un reglada, limitando la escogencia de elementos hoy disponibles.</w:t>
      </w:r>
    </w:p>
    <w:p w14:paraId="2931DB92" w14:textId="2D9C364B" w:rsidR="009044A6" w:rsidRDefault="009044A6" w:rsidP="009044A6">
      <w:pPr>
        <w:spacing w:before="120" w:after="0" w:line="276" w:lineRule="auto"/>
        <w:jc w:val="both"/>
        <w:rPr>
          <w:rFonts w:ascii="Bookman Old Style" w:hAnsi="Bookman Old Style"/>
        </w:rPr>
      </w:pPr>
      <w:r>
        <w:rPr>
          <w:rFonts w:ascii="Bookman Old Style" w:hAnsi="Bookman Old Style"/>
        </w:rPr>
        <w:tab/>
        <w:t>Realizar un ejercicio valorativo respecto de la conveniencia de la aplicación de estos documentos, se sostiene, no es plausible, pues su repercusión aún no se puede medir completamente, además, de que es diferente dependiendo de la calidad de cada entidad, para aquellas que no tienen la capacidad técnica para estructurar pliegos idóneos funge como como una opción positiva para adelantar los procesos contractuales, para las que tienen mejores puede implicar un obstáculo al identificar mejores criterios dependiendo de las características únicas de cada negocio.</w:t>
      </w:r>
    </w:p>
    <w:p w14:paraId="48F17673" w14:textId="77777777" w:rsidR="004174F3" w:rsidRPr="006A36F6" w:rsidRDefault="004174F3" w:rsidP="009D6F5D">
      <w:pPr>
        <w:spacing w:after="0" w:line="276" w:lineRule="auto"/>
        <w:jc w:val="both"/>
        <w:rPr>
          <w:rFonts w:ascii="Bookman Old Style" w:hAnsi="Bookman Old Style"/>
          <w:b/>
          <w:bCs/>
        </w:rPr>
      </w:pPr>
    </w:p>
    <w:p w14:paraId="72B9899D" w14:textId="748F498E" w:rsidR="006A36F6" w:rsidRPr="006A36F6" w:rsidRDefault="009044A6" w:rsidP="009D6F5D">
      <w:pPr>
        <w:spacing w:after="0" w:line="276" w:lineRule="auto"/>
        <w:jc w:val="both"/>
        <w:rPr>
          <w:rFonts w:ascii="Bookman Old Style" w:hAnsi="Bookman Old Style"/>
          <w:b/>
          <w:bCs/>
        </w:rPr>
      </w:pPr>
      <w:r>
        <w:rPr>
          <w:rFonts w:ascii="Bookman Old Style" w:hAnsi="Bookman Old Style"/>
          <w:b/>
          <w:bCs/>
        </w:rPr>
        <w:t>4</w:t>
      </w:r>
      <w:r w:rsidR="006A36F6" w:rsidRPr="006A36F6">
        <w:rPr>
          <w:rFonts w:ascii="Bookman Old Style" w:hAnsi="Bookman Old Style"/>
          <w:b/>
          <w:bCs/>
        </w:rPr>
        <w:t xml:space="preserve">. </w:t>
      </w:r>
      <w:r w:rsidR="00662093">
        <w:rPr>
          <w:rFonts w:ascii="Bookman Old Style" w:hAnsi="Bookman Old Style"/>
          <w:b/>
          <w:bCs/>
        </w:rPr>
        <w:t xml:space="preserve">Documentos </w:t>
      </w:r>
      <w:r w:rsidR="006A36F6" w:rsidRPr="006A36F6">
        <w:rPr>
          <w:rFonts w:ascii="Bookman Old Style" w:hAnsi="Bookman Old Style"/>
          <w:b/>
          <w:bCs/>
        </w:rPr>
        <w:t xml:space="preserve">tipo </w:t>
      </w:r>
      <w:r w:rsidR="00662093">
        <w:rPr>
          <w:rFonts w:ascii="Bookman Old Style" w:hAnsi="Bookman Old Style"/>
          <w:b/>
          <w:bCs/>
        </w:rPr>
        <w:t>resultado de la potestad regla</w:t>
      </w:r>
      <w:r w:rsidR="0016202A">
        <w:rPr>
          <w:rFonts w:ascii="Bookman Old Style" w:hAnsi="Bookman Old Style"/>
          <w:b/>
          <w:bCs/>
        </w:rPr>
        <w:t>mentaria</w:t>
      </w:r>
      <w:r w:rsidR="006A36F6" w:rsidRPr="006A36F6">
        <w:rPr>
          <w:rFonts w:ascii="Bookman Old Style" w:hAnsi="Bookman Old Style"/>
          <w:b/>
          <w:bCs/>
        </w:rPr>
        <w:t xml:space="preserve">: </w:t>
      </w:r>
      <w:r w:rsidR="00662093">
        <w:rPr>
          <w:rFonts w:ascii="Bookman Old Style" w:hAnsi="Bookman Old Style"/>
          <w:b/>
          <w:bCs/>
        </w:rPr>
        <w:t>realidad de</w:t>
      </w:r>
      <w:r w:rsidR="006A36F6" w:rsidRPr="006A36F6">
        <w:rPr>
          <w:rFonts w:ascii="Bookman Old Style" w:hAnsi="Bookman Old Style"/>
          <w:b/>
          <w:bCs/>
        </w:rPr>
        <w:t xml:space="preserve"> parad</w:t>
      </w:r>
      <w:r w:rsidR="00662093">
        <w:rPr>
          <w:rFonts w:ascii="Bookman Old Style" w:hAnsi="Bookman Old Style"/>
          <w:b/>
          <w:bCs/>
        </w:rPr>
        <w:t>ojas</w:t>
      </w:r>
    </w:p>
    <w:p w14:paraId="42FEF880" w14:textId="15891C61" w:rsidR="006A36F6" w:rsidRDefault="006A36F6" w:rsidP="009D6F5D">
      <w:pPr>
        <w:spacing w:after="0" w:line="276" w:lineRule="auto"/>
        <w:jc w:val="both"/>
        <w:rPr>
          <w:rFonts w:ascii="Bookman Old Style" w:hAnsi="Bookman Old Style"/>
          <w:b/>
          <w:bCs/>
        </w:rPr>
      </w:pPr>
    </w:p>
    <w:p w14:paraId="48128197" w14:textId="20E6B5C8" w:rsidR="00662093" w:rsidRPr="00FD065A" w:rsidRDefault="00FC15BA" w:rsidP="00352B07">
      <w:pPr>
        <w:spacing w:before="120" w:after="0" w:line="276" w:lineRule="auto"/>
        <w:jc w:val="both"/>
        <w:rPr>
          <w:rFonts w:ascii="Bookman Old Style" w:hAnsi="Bookman Old Style"/>
        </w:rPr>
      </w:pPr>
      <w:r>
        <w:rPr>
          <w:rFonts w:ascii="Bookman Old Style" w:hAnsi="Bookman Old Style"/>
        </w:rPr>
        <w:t xml:space="preserve">La potestad que se le otorgó Agencia en relación con los documentos tipo suscita diferentes reflexiones. La primera, referente a la facultad que le asiste al órgano de desarrollarlos, pues no es claro si es competente </w:t>
      </w:r>
      <w:r>
        <w:rPr>
          <w:rFonts w:ascii="Bookman Old Style" w:hAnsi="Bookman Old Style"/>
          <w:i/>
          <w:iCs/>
        </w:rPr>
        <w:t>per se</w:t>
      </w:r>
      <w:r>
        <w:rPr>
          <w:rFonts w:ascii="Bookman Old Style" w:hAnsi="Bookman Old Style"/>
        </w:rPr>
        <w:t xml:space="preserve"> o en virtud de la asignación que hace el Gobierno. Si bien la sentencia con ponencia de María Adriana Marín expone que</w:t>
      </w:r>
      <w:r w:rsidR="0012009F">
        <w:rPr>
          <w:rFonts w:ascii="Bookman Old Style" w:hAnsi="Bookman Old Style"/>
        </w:rPr>
        <w:t xml:space="preserve"> de las disposiciones </w:t>
      </w:r>
      <w:r w:rsidR="0012009F" w:rsidRPr="00FD065A">
        <w:rPr>
          <w:rFonts w:ascii="Bookman Old Style" w:hAnsi="Bookman Old Style"/>
        </w:rPr>
        <w:t>que reglamentan su creación y funcionamiento no se deriva la habilitación para que cree estos documentos, el numeral 12 del artículo 11 del Decreto 4170 del 2011 establece como función de la Subdirección de Gestión Contractual: «</w:t>
      </w:r>
      <w:r w:rsidR="0012009F" w:rsidRPr="00FD065A">
        <w:rPr>
          <w:rFonts w:ascii="Bookman Old Style" w:hAnsi="Bookman Old Style" w:cs="Arial"/>
          <w:shd w:val="clear" w:color="auto" w:fill="FFFFFF"/>
        </w:rPr>
        <w:t>Desarrollar e implementar estándares y documentos tipo para las diferentes etapas de la gestión contractual pública</w:t>
      </w:r>
      <w:r w:rsidR="0012009F" w:rsidRPr="00FD065A">
        <w:rPr>
          <w:rFonts w:ascii="Bookman Old Style" w:hAnsi="Bookman Old Style" w:cs="Arial"/>
          <w:shd w:val="clear" w:color="auto" w:fill="FFFFFF"/>
        </w:rPr>
        <w:t>»</w:t>
      </w:r>
      <w:r w:rsidR="0012009F" w:rsidRPr="00FD065A">
        <w:rPr>
          <w:rFonts w:ascii="Bookman Old Style" w:hAnsi="Bookman Old Style" w:cs="Arial"/>
          <w:shd w:val="clear" w:color="auto" w:fill="FFFFFF"/>
        </w:rPr>
        <w:t>.</w:t>
      </w:r>
      <w:r w:rsidR="0012009F" w:rsidRPr="00FD065A">
        <w:rPr>
          <w:rFonts w:ascii="Bookman Old Style" w:hAnsi="Bookman Old Style"/>
        </w:rPr>
        <w:t xml:space="preserve"> </w:t>
      </w:r>
    </w:p>
    <w:p w14:paraId="4DD88CE7" w14:textId="00B1D515" w:rsidR="0012009F" w:rsidRDefault="0012009F" w:rsidP="00352B07">
      <w:pPr>
        <w:spacing w:before="120" w:after="0" w:line="276" w:lineRule="auto"/>
        <w:jc w:val="both"/>
        <w:rPr>
          <w:rFonts w:ascii="Bookman Old Style" w:hAnsi="Bookman Old Style"/>
        </w:rPr>
      </w:pPr>
      <w:r w:rsidRPr="00FD065A">
        <w:rPr>
          <w:rFonts w:ascii="Bookman Old Style" w:hAnsi="Bookman Old Style"/>
        </w:rPr>
        <w:tab/>
        <w:t xml:space="preserve">Si bien la posición actual de la jurisprudencia no tiende a reconocerle a Colombia Compra Eficiente la potestad autónoma, </w:t>
      </w:r>
      <w:r w:rsidR="00827607" w:rsidRPr="00FD065A">
        <w:rPr>
          <w:rFonts w:ascii="Bookman Old Style" w:hAnsi="Bookman Old Style"/>
        </w:rPr>
        <w:t xml:space="preserve">de </w:t>
      </w:r>
      <w:r w:rsidRPr="00FD065A">
        <w:rPr>
          <w:rFonts w:ascii="Bookman Old Style" w:hAnsi="Bookman Old Style"/>
        </w:rPr>
        <w:t xml:space="preserve">una </w:t>
      </w:r>
      <w:proofErr w:type="gramStart"/>
      <w:r w:rsidRPr="00FD065A">
        <w:rPr>
          <w:rFonts w:ascii="Bookman Old Style" w:hAnsi="Bookman Old Style"/>
        </w:rPr>
        <w:t xml:space="preserve">lectura </w:t>
      </w:r>
      <w:r w:rsidR="00827607" w:rsidRPr="00FD065A">
        <w:rPr>
          <w:rFonts w:ascii="Bookman Old Style" w:hAnsi="Bookman Old Style"/>
        </w:rPr>
        <w:t xml:space="preserve"> </w:t>
      </w:r>
      <w:r w:rsidRPr="00FD065A">
        <w:rPr>
          <w:rFonts w:ascii="Bookman Old Style" w:hAnsi="Bookman Old Style"/>
        </w:rPr>
        <w:t>de</w:t>
      </w:r>
      <w:proofErr w:type="gramEnd"/>
      <w:r w:rsidRPr="00FD065A">
        <w:rPr>
          <w:rFonts w:ascii="Bookman Old Style" w:hAnsi="Bookman Old Style"/>
        </w:rPr>
        <w:t xml:space="preserve"> la disposición </w:t>
      </w:r>
      <w:r w:rsidR="00827607" w:rsidRPr="00FD065A">
        <w:rPr>
          <w:rFonts w:ascii="Bookman Old Style" w:hAnsi="Bookman Old Style"/>
        </w:rPr>
        <w:t>se pude inferir que se lo otorgaba la potestad</w:t>
      </w:r>
      <w:r w:rsidR="00827607">
        <w:rPr>
          <w:rFonts w:ascii="Bookman Old Style" w:hAnsi="Bookman Old Style"/>
        </w:rPr>
        <w:t xml:space="preserve">, sin necesidad de que una especie de ratificación por otra ley o reglamento. Sin embargo, también se nota que no se especifica el alcance, por ejemplo, no se determina si los documentos a desarrollar e implementar, tendrán carácter vinculante o si actuaran como simples «guías» u opciones. </w:t>
      </w:r>
    </w:p>
    <w:p w14:paraId="695FA242" w14:textId="036CE06B" w:rsidR="00FD065A" w:rsidRDefault="00827607" w:rsidP="00352B07">
      <w:pPr>
        <w:spacing w:before="120" w:after="0" w:line="276" w:lineRule="auto"/>
        <w:jc w:val="both"/>
        <w:rPr>
          <w:rFonts w:ascii="Bookman Old Style" w:hAnsi="Bookman Old Style"/>
        </w:rPr>
      </w:pPr>
      <w:r>
        <w:rPr>
          <w:rFonts w:ascii="Bookman Old Style" w:hAnsi="Bookman Old Style"/>
        </w:rPr>
        <w:tab/>
        <w:t xml:space="preserve">Otro asunto relevante es si con la facultad concedida </w:t>
      </w:r>
      <w:r>
        <w:rPr>
          <w:rFonts w:ascii="Bookman Old Style" w:hAnsi="Bookman Old Style"/>
        </w:rPr>
        <w:t xml:space="preserve">en la Ley 1882 de 2018 </w:t>
      </w:r>
      <w:r>
        <w:rPr>
          <w:rFonts w:ascii="Bookman Old Style" w:hAnsi="Bookman Old Style"/>
        </w:rPr>
        <w:t>de crear los pliegos es privativa del Gobierno</w:t>
      </w:r>
      <w:r w:rsidR="00F82133">
        <w:rPr>
          <w:rFonts w:ascii="Bookman Old Style" w:hAnsi="Bookman Old Style"/>
        </w:rPr>
        <w:t xml:space="preserve">. </w:t>
      </w:r>
      <w:r w:rsidR="00B22217">
        <w:rPr>
          <w:rFonts w:ascii="Bookman Old Style" w:hAnsi="Bookman Old Style"/>
        </w:rPr>
        <w:t>En principio la</w:t>
      </w:r>
      <w:r w:rsidR="00F82133">
        <w:rPr>
          <w:rFonts w:ascii="Bookman Old Style" w:hAnsi="Bookman Old Style"/>
        </w:rPr>
        <w:t xml:space="preserve"> conclusión al respecto es que lo será </w:t>
      </w:r>
      <w:r w:rsidR="00B22217">
        <w:rPr>
          <w:rFonts w:ascii="Bookman Old Style" w:hAnsi="Bookman Old Style"/>
        </w:rPr>
        <w:t xml:space="preserve">en cuanto a </w:t>
      </w:r>
      <w:r w:rsidR="00F82133">
        <w:rPr>
          <w:rFonts w:ascii="Bookman Old Style" w:hAnsi="Bookman Old Style"/>
        </w:rPr>
        <w:t xml:space="preserve">los objetos contractuales </w:t>
      </w:r>
      <w:r w:rsidR="00B22217">
        <w:rPr>
          <w:rFonts w:ascii="Bookman Old Style" w:hAnsi="Bookman Old Style"/>
        </w:rPr>
        <w:t>contenidos en la norma</w:t>
      </w:r>
      <w:r w:rsidR="00B22217">
        <w:rPr>
          <w:rStyle w:val="Refdenotaalpie"/>
          <w:rFonts w:ascii="Bookman Old Style" w:hAnsi="Bookman Old Style"/>
        </w:rPr>
        <w:footnoteReference w:id="9"/>
      </w:r>
      <w:r w:rsidR="00B22217">
        <w:rPr>
          <w:rFonts w:ascii="Bookman Old Style" w:hAnsi="Bookman Old Style"/>
        </w:rPr>
        <w:t xml:space="preserve">, la </w:t>
      </w:r>
      <w:r w:rsidR="00B22217">
        <w:rPr>
          <w:rFonts w:ascii="Bookman Old Style" w:hAnsi="Bookman Old Style"/>
        </w:rPr>
        <w:lastRenderedPageBreak/>
        <w:t xml:space="preserve">duda surge para los que allí no se especifican. De allí es posible desprender diversas interpretaciones, la primera, si </w:t>
      </w:r>
      <w:r w:rsidR="00FD065A">
        <w:rPr>
          <w:rFonts w:ascii="Bookman Old Style" w:hAnsi="Bookman Old Style"/>
        </w:rPr>
        <w:t>no</w:t>
      </w:r>
      <w:r w:rsidR="00B22217">
        <w:rPr>
          <w:rFonts w:ascii="Bookman Old Style" w:hAnsi="Bookman Old Style"/>
        </w:rPr>
        <w:t xml:space="preserve"> acepta que del numeral 12 de artículo 11 del Decreto 4170 de 2011</w:t>
      </w:r>
      <w:r w:rsidR="00FD065A">
        <w:rPr>
          <w:rFonts w:ascii="Bookman Old Style" w:hAnsi="Bookman Old Style"/>
        </w:rPr>
        <w:t xml:space="preserve"> confiere una facultad </w:t>
      </w:r>
      <w:r w:rsidR="00FD065A">
        <w:rPr>
          <w:rFonts w:ascii="Bookman Old Style" w:hAnsi="Bookman Old Style"/>
          <w:i/>
          <w:iCs/>
        </w:rPr>
        <w:t>per se</w:t>
      </w:r>
      <w:r w:rsidR="00FD065A">
        <w:rPr>
          <w:rFonts w:ascii="Bookman Old Style" w:hAnsi="Bookman Old Style"/>
        </w:rPr>
        <w:t xml:space="preserve">, entonces se concluiría </w:t>
      </w:r>
      <w:proofErr w:type="gramStart"/>
      <w:r w:rsidR="00FD065A">
        <w:rPr>
          <w:rFonts w:ascii="Bookman Old Style" w:hAnsi="Bookman Old Style"/>
        </w:rPr>
        <w:t>que</w:t>
      </w:r>
      <w:proofErr w:type="gramEnd"/>
      <w:r w:rsidR="00FD065A">
        <w:rPr>
          <w:rFonts w:ascii="Bookman Old Style" w:hAnsi="Bookman Old Style"/>
        </w:rPr>
        <w:t xml:space="preserve"> si bien no es privativa, ninguna otra entidad podrá hacerlo, pues ninguna tiene la competencia.</w:t>
      </w:r>
    </w:p>
    <w:p w14:paraId="41483A2E" w14:textId="7F8507C8" w:rsidR="00827607" w:rsidRDefault="00FD065A" w:rsidP="00352B07">
      <w:pPr>
        <w:spacing w:before="120" w:after="0" w:line="276" w:lineRule="auto"/>
        <w:jc w:val="both"/>
        <w:rPr>
          <w:rFonts w:ascii="Bookman Old Style" w:hAnsi="Bookman Old Style"/>
        </w:rPr>
      </w:pPr>
      <w:r>
        <w:rPr>
          <w:rFonts w:ascii="Bookman Old Style" w:hAnsi="Bookman Old Style"/>
        </w:rPr>
        <w:tab/>
        <w:t xml:space="preserve">Si se acepta que se la confiere, respecto a los demás objetos la Agencia tiene la posibilidad de crear los documentos. En esa misma línea, si se contempla que la Ley 1882 se señala que: «la facultad de adoptar documentos tipo la tendrá el Gobierno Nacional, cuando lo considere necesario en relación con otros contratos o procesos de selección», se concluye o que la competencia es compartida entre el Gobierno y Colombia Compra Eficiente, o que, por el contrario, el único que la tiene es aquel, pues podrá disponer en qué documentos adoptar, según su análisis de conveniencia. </w:t>
      </w:r>
    </w:p>
    <w:p w14:paraId="2D88752D" w14:textId="698E5AEF" w:rsidR="00FD065A" w:rsidRDefault="00FD065A" w:rsidP="00352B07">
      <w:pPr>
        <w:spacing w:before="120" w:after="0" w:line="276" w:lineRule="auto"/>
        <w:jc w:val="both"/>
        <w:rPr>
          <w:rFonts w:ascii="Bookman Old Style" w:hAnsi="Bookman Old Style"/>
        </w:rPr>
      </w:pPr>
      <w:r>
        <w:rPr>
          <w:rFonts w:ascii="Bookman Old Style" w:hAnsi="Bookman Old Style"/>
        </w:rPr>
        <w:tab/>
        <w:t xml:space="preserve">Por otro lado, es preciso identificar el alcance de la expresión «adoptará» que utiliza la Ley 1882, pues </w:t>
      </w:r>
      <w:r w:rsidR="00BA6F3D">
        <w:rPr>
          <w:rFonts w:ascii="Bookman Old Style" w:hAnsi="Bookman Old Style"/>
        </w:rPr>
        <w:t xml:space="preserve">de análisis del Consejo de Estado y, en general, la </w:t>
      </w:r>
      <w:proofErr w:type="spellStart"/>
      <w:r w:rsidR="00BA6F3D">
        <w:rPr>
          <w:rFonts w:ascii="Bookman Old Style" w:hAnsi="Bookman Old Style"/>
        </w:rPr>
        <w:t>indelegabilidad</w:t>
      </w:r>
      <w:proofErr w:type="spellEnd"/>
      <w:r w:rsidR="00BA6F3D">
        <w:rPr>
          <w:rFonts w:ascii="Bookman Old Style" w:hAnsi="Bookman Old Style"/>
        </w:rPr>
        <w:t xml:space="preserve"> de potestad reglamentaria se concluye que la facultad asignada por la Ley debe ser ciertamente ejercida, en caso contrario, habría una transferencia indebida de ella. De allí que, sería necesario determinar si los parámetros del artículo 2.2.1.2.6.1.3 del Decreto 342 de 2019 son suficientes ara considerar que se ejerció la potestad. </w:t>
      </w:r>
    </w:p>
    <w:p w14:paraId="15437159" w14:textId="15B882C2" w:rsidR="00E80E8D" w:rsidRDefault="00E80E8D" w:rsidP="00352B07">
      <w:pPr>
        <w:spacing w:before="120" w:after="0" w:line="276" w:lineRule="auto"/>
        <w:jc w:val="both"/>
        <w:rPr>
          <w:rFonts w:ascii="Bookman Old Style" w:hAnsi="Bookman Old Style"/>
        </w:rPr>
      </w:pPr>
      <w:r>
        <w:rPr>
          <w:rFonts w:ascii="Bookman Old Style" w:hAnsi="Bookman Old Style"/>
        </w:rPr>
        <w:tab/>
        <w:t>Si bien de la disposición no se desprende una interpretación precisa de «adoptar», el concepto tiene como acepción, de acuerdo con el diccionario de la lengua española, «tomar resoluciones o acuerdos con previo examen o deliberación». De ahí que adoptar no sea necesariamente crear, desarrollar e implementarlos, sino con definir los criterios y contenidos del pliego bastará.</w:t>
      </w:r>
    </w:p>
    <w:p w14:paraId="627D1C6C" w14:textId="4BB51F7C" w:rsidR="00E80E8D" w:rsidRDefault="00E80E8D" w:rsidP="00352B07">
      <w:pPr>
        <w:spacing w:before="120" w:after="0" w:line="276" w:lineRule="auto"/>
        <w:jc w:val="both"/>
        <w:rPr>
          <w:rFonts w:ascii="Bookman Old Style" w:hAnsi="Bookman Old Style"/>
        </w:rPr>
      </w:pPr>
      <w:r>
        <w:rPr>
          <w:rFonts w:ascii="Bookman Old Style" w:hAnsi="Bookman Old Style"/>
        </w:rPr>
        <w:tab/>
        <w:t xml:space="preserve">Para finalizar es preciso indicar la relación paradójica que se presenta entre la potestad reglamentaria que deriva en el pliego tipo y aquella que es propia del presidente, pues si bien esta tiene mayor jerarquía normativa que aquella, en ocasiones el pliego podrá definir más temas que al otro le están vedados. Un ejemplo claro es en lo relativo a los factores de escogencia y de calificación, </w:t>
      </w:r>
      <w:r w:rsidR="00352B07">
        <w:rPr>
          <w:rFonts w:ascii="Bookman Old Style" w:hAnsi="Bookman Old Style"/>
        </w:rPr>
        <w:t xml:space="preserve">pues el </w:t>
      </w:r>
      <w:r>
        <w:rPr>
          <w:rFonts w:ascii="Bookman Old Style" w:hAnsi="Bookman Old Style"/>
        </w:rPr>
        <w:t>Consejo de Estado declaró</w:t>
      </w:r>
      <w:r w:rsidR="00352B07">
        <w:rPr>
          <w:rFonts w:ascii="Bookman Old Style" w:hAnsi="Bookman Old Style"/>
        </w:rPr>
        <w:t xml:space="preserve"> respecto del</w:t>
      </w:r>
      <w:r>
        <w:rPr>
          <w:rFonts w:ascii="Bookman Old Style" w:hAnsi="Bookman Old Style"/>
        </w:rPr>
        <w:t xml:space="preserve"> artículo 4 del Decreto 2170 del 2002</w:t>
      </w:r>
      <w:r w:rsidR="00352B07">
        <w:rPr>
          <w:rStyle w:val="Refdenotaalpie"/>
          <w:rFonts w:ascii="Bookman Old Style" w:hAnsi="Bookman Old Style"/>
        </w:rPr>
        <w:footnoteReference w:id="10"/>
      </w:r>
      <w:r>
        <w:rPr>
          <w:rFonts w:ascii="Bookman Old Style" w:hAnsi="Bookman Old Style"/>
        </w:rPr>
        <w:t xml:space="preserve"> que </w:t>
      </w:r>
      <w:r w:rsidR="00352B07">
        <w:rPr>
          <w:rFonts w:ascii="Bookman Old Style" w:hAnsi="Bookman Old Style"/>
        </w:rPr>
        <w:lastRenderedPageBreak/>
        <w:t xml:space="preserve">el reglamento no tiene la capacidad de limitar la libertad contractual de la Administración, ya que es ella la que debe escoger de acuerdo con sus necesidades; situación que si le está permitida a los pliegos tipo. </w:t>
      </w:r>
    </w:p>
    <w:p w14:paraId="69230D5A" w14:textId="77777777" w:rsidR="00352B07" w:rsidRPr="00957672" w:rsidRDefault="00352B07" w:rsidP="009D6F5D">
      <w:pPr>
        <w:spacing w:after="0" w:line="276" w:lineRule="auto"/>
        <w:jc w:val="both"/>
        <w:rPr>
          <w:rFonts w:ascii="Bookman Old Style" w:hAnsi="Bookman Old Style"/>
        </w:rPr>
      </w:pPr>
    </w:p>
    <w:p w14:paraId="04187D02" w14:textId="1610A35D" w:rsidR="00957672" w:rsidRDefault="00167EF5" w:rsidP="00167EF5">
      <w:pPr>
        <w:spacing w:after="0" w:line="276" w:lineRule="auto"/>
        <w:jc w:val="center"/>
        <w:rPr>
          <w:rFonts w:ascii="Bookman Old Style" w:eastAsia="Calibri" w:hAnsi="Bookman Old Style" w:cs="Calibri"/>
          <w:b/>
          <w:i/>
        </w:rPr>
      </w:pPr>
      <w:r w:rsidRPr="00167EF5">
        <w:rPr>
          <w:rFonts w:ascii="Bookman Old Style" w:eastAsia="Calibri" w:hAnsi="Bookman Old Style" w:cs="Calibri"/>
          <w:b/>
          <w:i/>
        </w:rPr>
        <w:t>Bibliografía</w:t>
      </w:r>
    </w:p>
    <w:p w14:paraId="5B851691" w14:textId="1757ED4C" w:rsidR="00F25206" w:rsidRDefault="00F25206" w:rsidP="009D6F5D">
      <w:pPr>
        <w:autoSpaceDE w:val="0"/>
        <w:autoSpaceDN w:val="0"/>
        <w:adjustRightInd w:val="0"/>
        <w:spacing w:after="0" w:line="276" w:lineRule="auto"/>
        <w:jc w:val="both"/>
        <w:rPr>
          <w:rFonts w:ascii="Bookman Old Style" w:hAnsi="Bookman Old Style"/>
        </w:rPr>
      </w:pPr>
    </w:p>
    <w:p w14:paraId="23372D2A" w14:textId="3593B8E1" w:rsidR="00167EF5" w:rsidRDefault="00167EF5" w:rsidP="009D6F5D">
      <w:pPr>
        <w:autoSpaceDE w:val="0"/>
        <w:autoSpaceDN w:val="0"/>
        <w:adjustRightInd w:val="0"/>
        <w:spacing w:after="0" w:line="276" w:lineRule="auto"/>
        <w:jc w:val="both"/>
        <w:rPr>
          <w:rFonts w:ascii="Bookman Old Style" w:hAnsi="Bookman Old Style"/>
          <w:b/>
          <w:bCs/>
          <w:i/>
          <w:iCs/>
        </w:rPr>
      </w:pPr>
      <w:r>
        <w:rPr>
          <w:rFonts w:ascii="Bookman Old Style" w:hAnsi="Bookman Old Style"/>
          <w:b/>
          <w:bCs/>
          <w:i/>
          <w:iCs/>
        </w:rPr>
        <w:t>Doctrina</w:t>
      </w:r>
    </w:p>
    <w:p w14:paraId="7F28569E" w14:textId="77777777" w:rsidR="00167EF5" w:rsidRPr="00167EF5" w:rsidRDefault="00167EF5" w:rsidP="009D6F5D">
      <w:pPr>
        <w:autoSpaceDE w:val="0"/>
        <w:autoSpaceDN w:val="0"/>
        <w:adjustRightInd w:val="0"/>
        <w:spacing w:after="0" w:line="276" w:lineRule="auto"/>
        <w:jc w:val="both"/>
        <w:rPr>
          <w:rFonts w:ascii="Bookman Old Style" w:hAnsi="Bookman Old Style"/>
          <w:b/>
          <w:bCs/>
          <w:i/>
          <w:iCs/>
        </w:rPr>
      </w:pPr>
    </w:p>
    <w:p w14:paraId="25AE126D" w14:textId="498FE528" w:rsidR="00167EF5" w:rsidRDefault="00167EF5" w:rsidP="00167EF5">
      <w:pPr>
        <w:pStyle w:val="CEDAContenido"/>
        <w:spacing w:line="240" w:lineRule="auto"/>
      </w:pPr>
      <w:r w:rsidRPr="008C7BDB">
        <w:t xml:space="preserve">´MARÍN CORTÉS, Fabián G. El reglamento, como fuente del derecho administrativo. </w:t>
      </w:r>
      <w:r w:rsidRPr="008C7BDB">
        <w:rPr>
          <w:u w:val="single"/>
        </w:rPr>
        <w:t>En:</w:t>
      </w:r>
      <w:r w:rsidRPr="008C7BDB">
        <w:t xml:space="preserve"> Las fuentes del derecho administrativo. Texto inédito. p.9.</w:t>
      </w:r>
    </w:p>
    <w:p w14:paraId="30570FD1" w14:textId="17068810" w:rsidR="00167EF5" w:rsidRDefault="00167EF5" w:rsidP="00167EF5">
      <w:pPr>
        <w:pStyle w:val="CEDAContenido"/>
        <w:spacing w:line="240" w:lineRule="auto"/>
      </w:pPr>
    </w:p>
    <w:p w14:paraId="709E9E0F" w14:textId="1CAA7706" w:rsidR="00167EF5" w:rsidRPr="00804EAC" w:rsidRDefault="00804EAC" w:rsidP="00167EF5">
      <w:pPr>
        <w:pStyle w:val="CEDAContenido"/>
        <w:spacing w:line="240" w:lineRule="auto"/>
        <w:rPr>
          <w:b/>
          <w:bCs/>
          <w:i/>
          <w:iCs/>
        </w:rPr>
      </w:pPr>
      <w:r>
        <w:rPr>
          <w:b/>
          <w:bCs/>
          <w:i/>
          <w:iCs/>
        </w:rPr>
        <w:t>Jurisprudencia</w:t>
      </w:r>
    </w:p>
    <w:p w14:paraId="220596D2" w14:textId="77777777" w:rsidR="00167EF5" w:rsidRPr="008C7BDB" w:rsidRDefault="00167EF5" w:rsidP="00167EF5">
      <w:pPr>
        <w:spacing w:after="0" w:line="240" w:lineRule="auto"/>
        <w:ind w:firstLine="708"/>
        <w:jc w:val="both"/>
        <w:rPr>
          <w:rFonts w:ascii="Bookman Old Style" w:hAnsi="Bookman Old Style"/>
        </w:rPr>
      </w:pPr>
    </w:p>
    <w:p w14:paraId="76BF730F" w14:textId="3E0A0A76" w:rsidR="00352B07" w:rsidRPr="00352B07" w:rsidRDefault="00352B07" w:rsidP="00352B07">
      <w:pPr>
        <w:shd w:val="clear" w:color="auto" w:fill="FFFFFF"/>
        <w:spacing w:after="0" w:line="240" w:lineRule="auto"/>
        <w:jc w:val="both"/>
        <w:rPr>
          <w:rFonts w:ascii="Bookman Old Style" w:hAnsi="Bookman Old Style"/>
        </w:rPr>
      </w:pPr>
      <w:r w:rsidRPr="00352B07">
        <w:rPr>
          <w:rFonts w:ascii="Bookman Old Style" w:hAnsi="Bookman Old Style"/>
        </w:rPr>
        <w:t xml:space="preserve">DE ESTADO. Sección Tercera. Sentencia del 30 de noviembre de 2006. </w:t>
      </w:r>
      <w:proofErr w:type="spellStart"/>
      <w:r w:rsidRPr="00352B07">
        <w:rPr>
          <w:rFonts w:ascii="Bookman Old Style" w:hAnsi="Bookman Old Style"/>
        </w:rPr>
        <w:t>Exp</w:t>
      </w:r>
      <w:proofErr w:type="spellEnd"/>
      <w:r w:rsidRPr="00352B07">
        <w:rPr>
          <w:rFonts w:ascii="Bookman Old Style" w:hAnsi="Bookman Old Style"/>
        </w:rPr>
        <w:t xml:space="preserve">. 18.059. M.P. Alier E. Hernández Enríquez. </w:t>
      </w:r>
    </w:p>
    <w:p w14:paraId="22402337" w14:textId="77777777" w:rsidR="00352B07" w:rsidRPr="00352B07" w:rsidRDefault="00352B07" w:rsidP="00352B07">
      <w:pPr>
        <w:shd w:val="clear" w:color="auto" w:fill="FFFFFF"/>
        <w:spacing w:after="0" w:line="240" w:lineRule="auto"/>
        <w:jc w:val="both"/>
        <w:rPr>
          <w:rFonts w:ascii="Bookman Old Style" w:eastAsia="Times New Roman" w:hAnsi="Bookman Old Style" w:cs="Arial"/>
          <w:lang w:eastAsia="es-ES"/>
        </w:rPr>
      </w:pPr>
    </w:p>
    <w:p w14:paraId="2D9C10D3" w14:textId="14814393" w:rsidR="00352B07" w:rsidRPr="00352B07" w:rsidRDefault="00352B07" w:rsidP="00352B07">
      <w:pPr>
        <w:pStyle w:val="Textonotapie"/>
        <w:jc w:val="both"/>
        <w:rPr>
          <w:rFonts w:ascii="Bookman Old Style" w:hAnsi="Bookman Old Style"/>
          <w:sz w:val="22"/>
          <w:szCs w:val="22"/>
        </w:rPr>
      </w:pPr>
      <w:r w:rsidRPr="00352B07">
        <w:rPr>
          <w:rFonts w:ascii="Bookman Old Style" w:hAnsi="Bookman Old Style"/>
          <w:sz w:val="22"/>
          <w:szCs w:val="22"/>
        </w:rPr>
        <w:t>CONSEJO DE ESTADO</w:t>
      </w:r>
      <w:r w:rsidRPr="00352B07">
        <w:rPr>
          <w:rFonts w:ascii="Bookman Old Style" w:hAnsi="Bookman Old Style"/>
          <w:sz w:val="22"/>
          <w:szCs w:val="22"/>
        </w:rPr>
        <w:t xml:space="preserve">. Sección Tercera. Subsección A. Sentencia del 11 de abril de 2019. </w:t>
      </w:r>
      <w:proofErr w:type="spellStart"/>
      <w:r w:rsidRPr="00352B07">
        <w:rPr>
          <w:rFonts w:ascii="Bookman Old Style" w:hAnsi="Bookman Old Style"/>
          <w:sz w:val="22"/>
          <w:szCs w:val="22"/>
        </w:rPr>
        <w:t>Exp</w:t>
      </w:r>
      <w:proofErr w:type="spellEnd"/>
      <w:r w:rsidRPr="00352B07">
        <w:rPr>
          <w:rFonts w:ascii="Bookman Old Style" w:hAnsi="Bookman Old Style"/>
          <w:sz w:val="22"/>
          <w:szCs w:val="22"/>
        </w:rPr>
        <w:t xml:space="preserve">. 52.055. M.P. María Adriana Marín. </w:t>
      </w:r>
    </w:p>
    <w:p w14:paraId="22984A27" w14:textId="77777777" w:rsidR="00352B07" w:rsidRPr="00352B07" w:rsidRDefault="00352B07" w:rsidP="00352B07">
      <w:pPr>
        <w:shd w:val="clear" w:color="auto" w:fill="FFFFFF"/>
        <w:spacing w:after="0" w:line="240" w:lineRule="auto"/>
        <w:jc w:val="both"/>
        <w:rPr>
          <w:rFonts w:ascii="Bookman Old Style" w:hAnsi="Bookman Old Style"/>
        </w:rPr>
      </w:pPr>
    </w:p>
    <w:p w14:paraId="65142FB6" w14:textId="77777777" w:rsidR="00352B07" w:rsidRDefault="00352B07" w:rsidP="00352B07">
      <w:pPr>
        <w:pStyle w:val="Textonotapie"/>
      </w:pPr>
    </w:p>
    <w:p w14:paraId="1CCA5CD4" w14:textId="77777777" w:rsidR="00167EF5" w:rsidRPr="008C7BDB" w:rsidRDefault="00167EF5" w:rsidP="00167EF5">
      <w:pPr>
        <w:spacing w:after="0" w:line="240" w:lineRule="auto"/>
        <w:jc w:val="both"/>
      </w:pPr>
    </w:p>
    <w:p w14:paraId="313C240F" w14:textId="77777777" w:rsidR="00F25206" w:rsidRPr="00957672" w:rsidRDefault="00F25206" w:rsidP="009D6F5D">
      <w:pPr>
        <w:spacing w:after="0" w:line="276" w:lineRule="auto"/>
        <w:jc w:val="both"/>
        <w:rPr>
          <w:rFonts w:ascii="Bookman Old Style" w:eastAsia="Times New Roman" w:hAnsi="Bookman Old Style" w:cs="Arial"/>
          <w:lang w:eastAsia="es-ES"/>
        </w:rPr>
      </w:pPr>
    </w:p>
    <w:sectPr w:rsidR="00F25206" w:rsidRPr="00957672" w:rsidSect="00135168">
      <w:headerReference w:type="default" r:id="rId8"/>
      <w:footerReference w:type="default" r:id="rId9"/>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2B585" w14:textId="77777777" w:rsidR="0021365C" w:rsidRDefault="0021365C" w:rsidP="00977F87">
      <w:pPr>
        <w:spacing w:after="0" w:line="240" w:lineRule="auto"/>
      </w:pPr>
      <w:r>
        <w:separator/>
      </w:r>
    </w:p>
  </w:endnote>
  <w:endnote w:type="continuationSeparator" w:id="0">
    <w:p w14:paraId="42F09957" w14:textId="77777777" w:rsidR="0021365C" w:rsidRDefault="0021365C" w:rsidP="0097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472950"/>
      <w:docPartObj>
        <w:docPartGallery w:val="Page Numbers (Bottom of Page)"/>
        <w:docPartUnique/>
      </w:docPartObj>
    </w:sdtPr>
    <w:sdtEndPr>
      <w:rPr>
        <w:rFonts w:ascii="Bookman Old Style" w:hAnsi="Bookman Old Style"/>
        <w:sz w:val="18"/>
      </w:rPr>
    </w:sdtEndPr>
    <w:sdtContent>
      <w:p w14:paraId="076CD1F4" w14:textId="51D7A61F" w:rsidR="00FC15BA" w:rsidRPr="006C517E" w:rsidRDefault="00FC15BA">
        <w:pPr>
          <w:pStyle w:val="Piedepgina"/>
          <w:jc w:val="center"/>
          <w:rPr>
            <w:rFonts w:ascii="Bookman Old Style" w:hAnsi="Bookman Old Style"/>
            <w:sz w:val="18"/>
          </w:rPr>
        </w:pPr>
        <w:r w:rsidRPr="006C517E">
          <w:rPr>
            <w:rFonts w:ascii="Bookman Old Style" w:hAnsi="Bookman Old Style"/>
            <w:sz w:val="18"/>
          </w:rPr>
          <w:fldChar w:fldCharType="begin"/>
        </w:r>
        <w:r w:rsidRPr="006C517E">
          <w:rPr>
            <w:rFonts w:ascii="Bookman Old Style" w:hAnsi="Bookman Old Style"/>
            <w:sz w:val="18"/>
          </w:rPr>
          <w:instrText>PAGE   \* MERGEFORMAT</w:instrText>
        </w:r>
        <w:r w:rsidRPr="006C517E">
          <w:rPr>
            <w:rFonts w:ascii="Bookman Old Style" w:hAnsi="Bookman Old Style"/>
            <w:sz w:val="18"/>
          </w:rPr>
          <w:fldChar w:fldCharType="separate"/>
        </w:r>
        <w:r w:rsidRPr="006A223B">
          <w:rPr>
            <w:rFonts w:ascii="Bookman Old Style" w:hAnsi="Bookman Old Style"/>
            <w:noProof/>
            <w:sz w:val="18"/>
            <w:lang w:val="es-ES"/>
          </w:rPr>
          <w:t>10</w:t>
        </w:r>
        <w:r w:rsidRPr="006C517E">
          <w:rPr>
            <w:rFonts w:ascii="Bookman Old Style" w:hAnsi="Bookman Old Style"/>
            <w:sz w:val="18"/>
          </w:rPr>
          <w:fldChar w:fldCharType="end"/>
        </w:r>
      </w:p>
    </w:sdtContent>
  </w:sdt>
  <w:p w14:paraId="74BF2811" w14:textId="77777777" w:rsidR="00FC15BA" w:rsidRDefault="00FC15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D9DF5" w14:textId="77777777" w:rsidR="0021365C" w:rsidRDefault="0021365C" w:rsidP="00977F87">
      <w:pPr>
        <w:spacing w:after="0" w:line="240" w:lineRule="auto"/>
      </w:pPr>
      <w:r>
        <w:separator/>
      </w:r>
    </w:p>
  </w:footnote>
  <w:footnote w:type="continuationSeparator" w:id="0">
    <w:p w14:paraId="65C049CB" w14:textId="77777777" w:rsidR="0021365C" w:rsidRDefault="0021365C" w:rsidP="00977F87">
      <w:pPr>
        <w:spacing w:after="0" w:line="240" w:lineRule="auto"/>
      </w:pPr>
      <w:r>
        <w:continuationSeparator/>
      </w:r>
    </w:p>
  </w:footnote>
  <w:footnote w:id="1">
    <w:p w14:paraId="307ADBB7" w14:textId="577A101E" w:rsidR="00FC15BA" w:rsidRPr="004C01E4" w:rsidRDefault="00FC15BA" w:rsidP="00167EF5">
      <w:pPr>
        <w:pStyle w:val="Textonotapie"/>
        <w:ind w:firstLine="709"/>
        <w:jc w:val="both"/>
        <w:rPr>
          <w:rFonts w:ascii="Bookman Old Style" w:hAnsi="Bookman Old Style"/>
        </w:rPr>
      </w:pPr>
      <w:r w:rsidRPr="004C01E4">
        <w:rPr>
          <w:rStyle w:val="Refdenotaalpie"/>
          <w:rFonts w:ascii="Bookman Old Style" w:hAnsi="Bookman Old Style"/>
        </w:rPr>
        <w:footnoteRef/>
      </w:r>
      <w:r w:rsidRPr="004C01E4">
        <w:rPr>
          <w:rFonts w:ascii="Bookman Old Style" w:hAnsi="Bookman Old Style"/>
        </w:rPr>
        <w:t xml:space="preserve"> Este ensayo, escrito para la sesión del 21 de marzo de 2020, hace parte de la labor de apoyo a la investigación que el Auxiliar de Investigación realiza al interior del </w:t>
      </w:r>
      <w:r w:rsidRPr="004C01E4">
        <w:rPr>
          <w:rFonts w:ascii="Bookman Old Style" w:hAnsi="Bookman Old Style"/>
          <w:i/>
          <w:iCs/>
        </w:rPr>
        <w:t xml:space="preserve">Grupo de Estudio de Derecho Público </w:t>
      </w:r>
      <w:r w:rsidRPr="004C01E4">
        <w:rPr>
          <w:rFonts w:ascii="Bookman Old Style" w:hAnsi="Bookman Old Style"/>
        </w:rPr>
        <w:t>adscrito al CEDA, para cuya preparación recibió la orientación del Asesor Cristian A. Diaz Diez y se utiliza no solo para enriquecer el trabajo que el Investigador Principal adelanta al interior del CEDA —que finalmente aprovecha para construir el texto definitivo—, sino también para beneficio de toda la comunidad académica. La línea de investigación en la que se enmarca el ensayo es la</w:t>
      </w:r>
      <w:r w:rsidRPr="004C01E4">
        <w:rPr>
          <w:rFonts w:ascii="Bookman Old Style" w:hAnsi="Bookman Old Style"/>
          <w:i/>
          <w:iCs/>
        </w:rPr>
        <w:t xml:space="preserve"> Contratación Estatal</w:t>
      </w:r>
      <w:r w:rsidRPr="004C01E4">
        <w:rPr>
          <w:rFonts w:ascii="Bookman Old Style" w:hAnsi="Bookman Old Style"/>
        </w:rPr>
        <w:t>, dirigida por el Profesor (Investigador Principal) Fabián G. Marín.</w:t>
      </w:r>
    </w:p>
  </w:footnote>
  <w:footnote w:id="2">
    <w:p w14:paraId="7FB6A9BD" w14:textId="2E344A67" w:rsidR="00FC15BA" w:rsidRPr="004C01E4" w:rsidRDefault="00FC15BA" w:rsidP="00167EF5">
      <w:pPr>
        <w:pStyle w:val="CEDANotaalpi"/>
      </w:pPr>
      <w:r w:rsidRPr="004C01E4">
        <w:rPr>
          <w:rStyle w:val="Refdenotaalpie"/>
        </w:rPr>
        <w:footnoteRef/>
      </w:r>
      <w:r w:rsidRPr="004C01E4">
        <w:t xml:space="preserve"> Auxiliar de investigación del Grupo de Estudio de Derecho Público, Nivel IV, adscrito al </w:t>
      </w:r>
      <w:r w:rsidRPr="004C01E4">
        <w:rPr>
          <w:i/>
          <w:iCs/>
        </w:rPr>
        <w:t>Centro de Estudios de Derecho Administrativo</w:t>
      </w:r>
      <w:r w:rsidRPr="004C01E4">
        <w:t xml:space="preserve"> —CEDA—.</w:t>
      </w:r>
    </w:p>
  </w:footnote>
  <w:footnote w:id="3">
    <w:p w14:paraId="75BE7E3B" w14:textId="1355CEDC" w:rsidR="00FC15BA" w:rsidRPr="004C01E4" w:rsidRDefault="00FC15BA" w:rsidP="004C01E4">
      <w:pPr>
        <w:pStyle w:val="Textonotapie"/>
        <w:ind w:firstLine="708"/>
        <w:jc w:val="both"/>
        <w:rPr>
          <w:rFonts w:ascii="Bookman Old Style" w:hAnsi="Bookman Old Style"/>
        </w:rPr>
      </w:pPr>
      <w:r w:rsidRPr="004C01E4">
        <w:rPr>
          <w:rStyle w:val="Refdenotaalpie"/>
          <w:rFonts w:ascii="Bookman Old Style" w:hAnsi="Bookman Old Style"/>
        </w:rPr>
        <w:footnoteRef/>
      </w:r>
      <w:r w:rsidRPr="004C01E4">
        <w:rPr>
          <w:rFonts w:ascii="Bookman Old Style" w:hAnsi="Bookman Old Style"/>
        </w:rPr>
        <w:t xml:space="preserve"> Consejo de Estado. Sección Tercera. Subsección A. Sentencia del 11 de abril de 2019. </w:t>
      </w:r>
      <w:proofErr w:type="spellStart"/>
      <w:r w:rsidRPr="004C01E4">
        <w:rPr>
          <w:rFonts w:ascii="Bookman Old Style" w:hAnsi="Bookman Old Style"/>
        </w:rPr>
        <w:t>Exp</w:t>
      </w:r>
      <w:proofErr w:type="spellEnd"/>
      <w:r w:rsidRPr="004C01E4">
        <w:rPr>
          <w:rFonts w:ascii="Bookman Old Style" w:hAnsi="Bookman Old Style"/>
        </w:rPr>
        <w:t xml:space="preserve">. 52.055. M.P. María Adriana Marín. </w:t>
      </w:r>
    </w:p>
  </w:footnote>
  <w:footnote w:id="4">
    <w:p w14:paraId="43908F31" w14:textId="12383E4D" w:rsidR="00FC15BA" w:rsidRPr="004C01E4" w:rsidRDefault="00FC15BA" w:rsidP="00E05C0C">
      <w:pPr>
        <w:shd w:val="clear" w:color="auto" w:fill="FFFFFF"/>
        <w:spacing w:after="0" w:line="240" w:lineRule="auto"/>
        <w:ind w:firstLine="709"/>
        <w:jc w:val="both"/>
        <w:rPr>
          <w:rFonts w:ascii="Bookman Old Style" w:eastAsia="Times New Roman" w:hAnsi="Bookman Old Style" w:cs="Arial"/>
          <w:sz w:val="20"/>
          <w:szCs w:val="20"/>
          <w:lang w:eastAsia="es-ES"/>
        </w:rPr>
      </w:pPr>
      <w:r w:rsidRPr="004C01E4">
        <w:rPr>
          <w:rStyle w:val="Refdenotaalpie"/>
          <w:rFonts w:ascii="Bookman Old Style" w:hAnsi="Bookman Old Style"/>
          <w:sz w:val="20"/>
          <w:szCs w:val="20"/>
        </w:rPr>
        <w:footnoteRef/>
      </w:r>
      <w:r w:rsidRPr="004C01E4">
        <w:rPr>
          <w:rFonts w:ascii="Bookman Old Style" w:hAnsi="Bookman Old Style"/>
          <w:sz w:val="20"/>
          <w:szCs w:val="20"/>
        </w:rPr>
        <w:t xml:space="preserve"> El artículo consagra como parámetros los siguientes:</w:t>
      </w:r>
      <w:r w:rsidRPr="004C01E4">
        <w:rPr>
          <w:rFonts w:ascii="Bookman Old Style" w:eastAsia="Times New Roman" w:hAnsi="Bookman Old Style" w:cs="Arial"/>
          <w:sz w:val="20"/>
          <w:szCs w:val="20"/>
          <w:lang w:eastAsia="es-ES"/>
        </w:rPr>
        <w:t xml:space="preserve"> «1. Demostrar en los estudios previos que ha verificado las condiciones de mercado para la adquisición de los bienes o servicios adicionales al componente de obra pública, de tal manera que la experiencia adicional que se exija para tales bienes o servicios procure la pluralidad de oferentes, y no limite la concurrencia de proponentes al proceso de contratación.</w:t>
      </w:r>
    </w:p>
    <w:p w14:paraId="1BD211D6" w14:textId="12BAD163" w:rsidR="00FC15BA" w:rsidRPr="004C01E4" w:rsidRDefault="00FC15BA" w:rsidP="00E05C0C">
      <w:pPr>
        <w:shd w:val="clear" w:color="auto" w:fill="FFFFFF"/>
        <w:spacing w:after="0" w:line="240" w:lineRule="auto"/>
        <w:ind w:firstLine="709"/>
        <w:jc w:val="both"/>
        <w:rPr>
          <w:rFonts w:ascii="Bookman Old Style" w:eastAsia="Times New Roman" w:hAnsi="Bookman Old Style" w:cs="Arial"/>
          <w:sz w:val="20"/>
          <w:szCs w:val="20"/>
          <w:lang w:eastAsia="es-ES"/>
        </w:rPr>
      </w:pPr>
      <w:r w:rsidRPr="004C01E4">
        <w:rPr>
          <w:rFonts w:ascii="Bookman Old Style" w:eastAsia="Times New Roman" w:hAnsi="Bookman Old Style" w:cs="Arial"/>
          <w:sz w:val="20"/>
          <w:szCs w:val="20"/>
          <w:lang w:eastAsia="es-ES"/>
        </w:rPr>
        <w:t>»2. Conservar los requisitos exigidos en los Documentos Tipo.</w:t>
      </w:r>
    </w:p>
    <w:p w14:paraId="6502F9B5" w14:textId="23FF8C66" w:rsidR="00FC15BA" w:rsidRPr="004C01E4" w:rsidRDefault="00FC15BA" w:rsidP="00E05C0C">
      <w:pPr>
        <w:shd w:val="clear" w:color="auto" w:fill="FFFFFF"/>
        <w:spacing w:after="0" w:line="240" w:lineRule="auto"/>
        <w:ind w:firstLine="709"/>
        <w:jc w:val="both"/>
        <w:rPr>
          <w:rFonts w:ascii="Bookman Old Style" w:eastAsia="Times New Roman" w:hAnsi="Bookman Old Style" w:cs="Arial"/>
          <w:sz w:val="20"/>
          <w:szCs w:val="20"/>
          <w:lang w:eastAsia="es-ES"/>
        </w:rPr>
      </w:pPr>
      <w:r w:rsidRPr="004C01E4">
        <w:rPr>
          <w:rFonts w:ascii="Bookman Old Style" w:eastAsia="Times New Roman" w:hAnsi="Bookman Old Style" w:cs="Arial"/>
          <w:sz w:val="20"/>
          <w:szCs w:val="20"/>
          <w:lang w:eastAsia="es-ES"/>
        </w:rPr>
        <w:t>»3. Abstenerse de pedir experiencia exclusiva con entidades estatales, experiencia previa en un territorio específico, limitada en el tiempo o que incluya volúmenes o cantidades de obra específica.</w:t>
      </w:r>
    </w:p>
    <w:p w14:paraId="3E329315" w14:textId="7DC02A8F" w:rsidR="00FC15BA" w:rsidRPr="004C01E4" w:rsidRDefault="00FC15BA" w:rsidP="00E05C0C">
      <w:pPr>
        <w:shd w:val="clear" w:color="auto" w:fill="FFFFFF"/>
        <w:spacing w:after="0" w:line="240" w:lineRule="auto"/>
        <w:ind w:firstLine="709"/>
        <w:jc w:val="both"/>
        <w:rPr>
          <w:rFonts w:ascii="Bookman Old Style" w:eastAsia="Times New Roman" w:hAnsi="Bookman Old Style" w:cs="Arial"/>
          <w:sz w:val="20"/>
          <w:szCs w:val="20"/>
          <w:lang w:eastAsia="es-ES"/>
        </w:rPr>
      </w:pPr>
      <w:r w:rsidRPr="004C01E4">
        <w:rPr>
          <w:rFonts w:ascii="Bookman Old Style" w:eastAsia="Times New Roman" w:hAnsi="Bookman Old Style" w:cs="Arial"/>
          <w:sz w:val="20"/>
          <w:szCs w:val="20"/>
          <w:lang w:eastAsia="es-ES"/>
        </w:rPr>
        <w:t>»4. Clasificar la experiencia requerida solo hasta el tercer nivel del Clasificador de Bienes y Servicios e incluir exclusivamente los códigos que estén relacionados directamente con el objeto a contratar».</w:t>
      </w:r>
    </w:p>
    <w:p w14:paraId="75586FA2" w14:textId="35416FE9" w:rsidR="00FC15BA" w:rsidRPr="004C01E4" w:rsidRDefault="00FC15BA" w:rsidP="00E05C0C">
      <w:pPr>
        <w:pStyle w:val="Textonotapie"/>
        <w:ind w:firstLine="709"/>
        <w:rPr>
          <w:rFonts w:ascii="Bookman Old Style" w:hAnsi="Bookman Old Style"/>
        </w:rPr>
      </w:pPr>
    </w:p>
  </w:footnote>
  <w:footnote w:id="5">
    <w:p w14:paraId="3CDE6159" w14:textId="2D491338" w:rsidR="007862F4" w:rsidRPr="007862F4" w:rsidRDefault="007862F4" w:rsidP="007862F4">
      <w:pPr>
        <w:pStyle w:val="Textonotapie"/>
        <w:ind w:firstLine="708"/>
        <w:rPr>
          <w:rFonts w:ascii="Bookman Old Style" w:hAnsi="Bookman Old Style"/>
        </w:rPr>
      </w:pPr>
      <w:r w:rsidRPr="007862F4">
        <w:rPr>
          <w:rStyle w:val="Refdenotaalpie"/>
          <w:rFonts w:ascii="Bookman Old Style" w:hAnsi="Bookman Old Style"/>
        </w:rPr>
        <w:footnoteRef/>
      </w:r>
      <w:r w:rsidRPr="007862F4">
        <w:rPr>
          <w:rFonts w:ascii="Bookman Old Style" w:hAnsi="Bookman Old Style"/>
        </w:rPr>
        <w:t xml:space="preserve"> CONGRESO DE LA REÚBLICA. Gaceta del Congreso </w:t>
      </w:r>
      <w:proofErr w:type="spellStart"/>
      <w:r w:rsidRPr="007862F4">
        <w:rPr>
          <w:rFonts w:ascii="Bookman Old Style" w:hAnsi="Bookman Old Style"/>
        </w:rPr>
        <w:t>N°</w:t>
      </w:r>
      <w:proofErr w:type="spellEnd"/>
      <w:r w:rsidRPr="007862F4">
        <w:rPr>
          <w:rFonts w:ascii="Bookman Old Style" w:hAnsi="Bookman Old Style"/>
        </w:rPr>
        <w:t xml:space="preserve"> 71 del 17 de febrero de 2020. </w:t>
      </w:r>
    </w:p>
  </w:footnote>
  <w:footnote w:id="6">
    <w:p w14:paraId="4CAD9CAA" w14:textId="7952527A" w:rsidR="00FC15BA" w:rsidRPr="004C01E4" w:rsidRDefault="00FC15BA" w:rsidP="00C00DF0">
      <w:pPr>
        <w:pStyle w:val="Textonotapie"/>
        <w:ind w:firstLine="708"/>
        <w:jc w:val="both"/>
        <w:rPr>
          <w:rFonts w:ascii="Bookman Old Style" w:hAnsi="Bookman Old Style"/>
        </w:rPr>
      </w:pPr>
      <w:r w:rsidRPr="004C01E4">
        <w:rPr>
          <w:rStyle w:val="Refdenotaalpie"/>
          <w:rFonts w:ascii="Bookman Old Style" w:hAnsi="Bookman Old Style"/>
        </w:rPr>
        <w:footnoteRef/>
      </w:r>
      <w:r w:rsidRPr="004C01E4">
        <w:rPr>
          <w:rFonts w:ascii="Bookman Old Style" w:hAnsi="Bookman Old Style"/>
        </w:rPr>
        <w:t xml:space="preserve"> CONSEJO DE ESTADO. Sección Tercera. Sentencia del 30 de noviembre de 2006. </w:t>
      </w:r>
      <w:proofErr w:type="spellStart"/>
      <w:r w:rsidRPr="004C01E4">
        <w:rPr>
          <w:rFonts w:ascii="Bookman Old Style" w:hAnsi="Bookman Old Style"/>
        </w:rPr>
        <w:t>Exp</w:t>
      </w:r>
      <w:proofErr w:type="spellEnd"/>
      <w:r w:rsidRPr="004C01E4">
        <w:rPr>
          <w:rFonts w:ascii="Bookman Old Style" w:hAnsi="Bookman Old Style"/>
        </w:rPr>
        <w:t xml:space="preserve">. 18.059. M.P. Alier E. Hernández Enríquez. </w:t>
      </w:r>
    </w:p>
  </w:footnote>
  <w:footnote w:id="7">
    <w:p w14:paraId="25845326" w14:textId="20E25775" w:rsidR="00FC15BA" w:rsidRPr="004C01E4" w:rsidRDefault="00FC15BA" w:rsidP="00B52441">
      <w:pPr>
        <w:pStyle w:val="Textonotapie"/>
        <w:ind w:firstLine="708"/>
        <w:jc w:val="both"/>
        <w:rPr>
          <w:rFonts w:ascii="Bookman Old Style" w:hAnsi="Bookman Old Style"/>
        </w:rPr>
      </w:pPr>
      <w:r w:rsidRPr="004C01E4">
        <w:rPr>
          <w:rStyle w:val="Refdenotaalpie"/>
          <w:rFonts w:ascii="Bookman Old Style" w:hAnsi="Bookman Old Style"/>
        </w:rPr>
        <w:footnoteRef/>
      </w:r>
      <w:r w:rsidRPr="004C01E4">
        <w:rPr>
          <w:rFonts w:ascii="Bookman Old Style" w:hAnsi="Bookman Old Style"/>
        </w:rPr>
        <w:t xml:space="preserve"> MARÍN CORTÉS, Fabián G. El reglamento, como fuente del derecho administrativo. </w:t>
      </w:r>
      <w:r w:rsidRPr="004C01E4">
        <w:rPr>
          <w:rFonts w:ascii="Bookman Old Style" w:hAnsi="Bookman Old Style"/>
          <w:u w:val="single"/>
        </w:rPr>
        <w:t>En:</w:t>
      </w:r>
      <w:r w:rsidRPr="004C01E4">
        <w:rPr>
          <w:rFonts w:ascii="Bookman Old Style" w:hAnsi="Bookman Old Style"/>
        </w:rPr>
        <w:t xml:space="preserve"> Las fuentes del derecho administrativo. Texto inédito. p. 12.</w:t>
      </w:r>
    </w:p>
  </w:footnote>
  <w:footnote w:id="8">
    <w:p w14:paraId="3F1B5898" w14:textId="73E6DA15" w:rsidR="00FC15BA" w:rsidRPr="004C01E4" w:rsidRDefault="00FC15BA" w:rsidP="004C01E4">
      <w:pPr>
        <w:pStyle w:val="Textonotapie"/>
        <w:ind w:firstLine="708"/>
        <w:jc w:val="both"/>
        <w:rPr>
          <w:rFonts w:ascii="Bookman Old Style" w:hAnsi="Bookman Old Style"/>
        </w:rPr>
      </w:pPr>
      <w:r w:rsidRPr="004C01E4">
        <w:rPr>
          <w:rStyle w:val="Refdenotaalpie"/>
          <w:rFonts w:ascii="Bookman Old Style" w:hAnsi="Bookman Old Style"/>
        </w:rPr>
        <w:footnoteRef/>
      </w:r>
      <w:r w:rsidRPr="004C01E4">
        <w:rPr>
          <w:rFonts w:ascii="Bookman Old Style" w:hAnsi="Bookman Old Style"/>
        </w:rPr>
        <w:t xml:space="preserve"> Consejo de Estado. Sección Tercera. Subsección A. Sentencia del 11 de abril de 2019. </w:t>
      </w:r>
      <w:proofErr w:type="spellStart"/>
      <w:r w:rsidRPr="004C01E4">
        <w:rPr>
          <w:rFonts w:ascii="Bookman Old Style" w:hAnsi="Bookman Old Style"/>
        </w:rPr>
        <w:t>Exp</w:t>
      </w:r>
      <w:proofErr w:type="spellEnd"/>
      <w:r w:rsidRPr="004C01E4">
        <w:rPr>
          <w:rFonts w:ascii="Bookman Old Style" w:hAnsi="Bookman Old Style"/>
        </w:rPr>
        <w:t xml:space="preserve">. 52.055. M.P. María Adriana Marín. </w:t>
      </w:r>
    </w:p>
  </w:footnote>
  <w:footnote w:id="9">
    <w:p w14:paraId="29AFEAF1" w14:textId="1193C05D" w:rsidR="00B22217" w:rsidRPr="00352B07" w:rsidRDefault="00B22217" w:rsidP="00352B07">
      <w:pPr>
        <w:spacing w:after="0" w:line="276" w:lineRule="auto"/>
        <w:ind w:firstLine="709"/>
        <w:jc w:val="both"/>
        <w:rPr>
          <w:rFonts w:ascii="Bookman Old Style" w:hAnsi="Bookman Old Style"/>
        </w:rPr>
      </w:pPr>
      <w:r>
        <w:rPr>
          <w:rStyle w:val="Refdenotaalpie"/>
        </w:rPr>
        <w:footnoteRef/>
      </w:r>
      <w:r>
        <w:t xml:space="preserve"> </w:t>
      </w:r>
      <w:r>
        <w:rPr>
          <w:rFonts w:ascii="Bookman Old Style" w:hAnsi="Bookman Old Style"/>
          <w:i/>
          <w:iCs/>
        </w:rPr>
        <w:t xml:space="preserve">i) </w:t>
      </w:r>
      <w:r>
        <w:rPr>
          <w:rFonts w:ascii="Bookman Old Style" w:hAnsi="Bookman Old Style"/>
        </w:rPr>
        <w:t xml:space="preserve">obras públicas; </w:t>
      </w:r>
      <w:proofErr w:type="spellStart"/>
      <w:r>
        <w:rPr>
          <w:rFonts w:ascii="Bookman Old Style" w:hAnsi="Bookman Old Style"/>
          <w:i/>
          <w:iCs/>
        </w:rPr>
        <w:t>ii</w:t>
      </w:r>
      <w:proofErr w:type="spellEnd"/>
      <w:r>
        <w:rPr>
          <w:rFonts w:ascii="Bookman Old Style" w:hAnsi="Bookman Old Style"/>
          <w:i/>
          <w:iCs/>
        </w:rPr>
        <w:t>)</w:t>
      </w:r>
      <w:r>
        <w:rPr>
          <w:rFonts w:ascii="Bookman Old Style" w:hAnsi="Bookman Old Style"/>
        </w:rPr>
        <w:t xml:space="preserve"> interventoría para las obras públicas; </w:t>
      </w:r>
      <w:proofErr w:type="spellStart"/>
      <w:r>
        <w:rPr>
          <w:rFonts w:ascii="Bookman Old Style" w:hAnsi="Bookman Old Style"/>
          <w:i/>
          <w:iCs/>
        </w:rPr>
        <w:t>iii</w:t>
      </w:r>
      <w:proofErr w:type="spellEnd"/>
      <w:r>
        <w:rPr>
          <w:rFonts w:ascii="Bookman Old Style" w:hAnsi="Bookman Old Style"/>
          <w:i/>
          <w:iCs/>
        </w:rPr>
        <w:t xml:space="preserve">) </w:t>
      </w:r>
      <w:r>
        <w:rPr>
          <w:rFonts w:ascii="Bookman Old Style" w:hAnsi="Bookman Old Style"/>
        </w:rPr>
        <w:t xml:space="preserve">interventoría para consultoría de estudios y diseños para obras públicas; </w:t>
      </w:r>
      <w:proofErr w:type="spellStart"/>
      <w:r>
        <w:rPr>
          <w:rFonts w:ascii="Bookman Old Style" w:hAnsi="Bookman Old Style"/>
          <w:i/>
          <w:iCs/>
        </w:rPr>
        <w:t>iv</w:t>
      </w:r>
      <w:proofErr w:type="spellEnd"/>
      <w:r>
        <w:rPr>
          <w:rFonts w:ascii="Bookman Old Style" w:hAnsi="Bookman Old Style"/>
          <w:i/>
          <w:iCs/>
        </w:rPr>
        <w:t>)</w:t>
      </w:r>
      <w:r>
        <w:rPr>
          <w:rFonts w:ascii="Bookman Old Style" w:hAnsi="Bookman Old Style"/>
        </w:rPr>
        <w:t xml:space="preserve"> consultoría en ingeniería para obras, los cuales deben utilizarlos todas las entidades públicas sometidas al Estatuto General de Contratación de la Administración Pública. </w:t>
      </w:r>
    </w:p>
  </w:footnote>
  <w:footnote w:id="10">
    <w:p w14:paraId="6293DABA" w14:textId="73B1F601" w:rsidR="00352B07" w:rsidRPr="00352B07" w:rsidRDefault="00352B07" w:rsidP="00352B07">
      <w:pPr>
        <w:pStyle w:val="NormalWeb"/>
        <w:shd w:val="clear" w:color="auto" w:fill="FFFFFF"/>
        <w:spacing w:before="0" w:beforeAutospacing="0" w:after="0" w:afterAutospacing="0"/>
        <w:ind w:firstLine="709"/>
        <w:jc w:val="both"/>
        <w:rPr>
          <w:rFonts w:ascii="Bookman Old Style" w:hAnsi="Bookman Old Style" w:cs="Arial"/>
          <w:sz w:val="20"/>
          <w:szCs w:val="20"/>
          <w:lang w:val="es-ES" w:eastAsia="es-ES"/>
        </w:rPr>
      </w:pPr>
      <w:r>
        <w:rPr>
          <w:rStyle w:val="Refdenotaalpie"/>
        </w:rPr>
        <w:footnoteRef/>
      </w:r>
      <w:r>
        <w:t xml:space="preserve"> Artículo 4 «</w:t>
      </w:r>
      <w:r w:rsidRPr="00352B07">
        <w:rPr>
          <w:rFonts w:ascii="Bookman Old Style" w:hAnsi="Bookman Old Style" w:cs="Arial"/>
          <w:sz w:val="20"/>
          <w:szCs w:val="20"/>
          <w:lang w:val="es-ES" w:eastAsia="es-ES"/>
        </w:rPr>
        <w:t xml:space="preserve">En desarrollo de lo previsto en el artículo 29 de la Ley 80 de 1993 y en relación con los procesos de selección, los factores de escogencia y calificación que establezcan las entidades en los pliegos de condiciones o términos de </w:t>
      </w:r>
      <w:proofErr w:type="gramStart"/>
      <w:r w:rsidRPr="00352B07">
        <w:rPr>
          <w:rFonts w:ascii="Bookman Old Style" w:hAnsi="Bookman Old Style" w:cs="Arial"/>
          <w:sz w:val="20"/>
          <w:szCs w:val="20"/>
          <w:lang w:val="es-ES" w:eastAsia="es-ES"/>
        </w:rPr>
        <w:t>referencia,</w:t>
      </w:r>
      <w:proofErr w:type="gramEnd"/>
      <w:r w:rsidRPr="00352B07">
        <w:rPr>
          <w:rFonts w:ascii="Bookman Old Style" w:hAnsi="Bookman Old Style" w:cs="Arial"/>
          <w:sz w:val="20"/>
          <w:szCs w:val="20"/>
          <w:lang w:val="es-ES" w:eastAsia="es-ES"/>
        </w:rPr>
        <w:t xml:space="preserve"> tendrán en cuenta los siguientes criterios:</w:t>
      </w:r>
    </w:p>
    <w:p w14:paraId="5D3AFB38" w14:textId="41479C31" w:rsidR="00352B07" w:rsidRPr="00352B07" w:rsidRDefault="00352B07" w:rsidP="00352B07">
      <w:pPr>
        <w:shd w:val="clear" w:color="auto" w:fill="FFFFFF"/>
        <w:spacing w:after="0" w:line="240" w:lineRule="auto"/>
        <w:ind w:firstLine="709"/>
        <w:jc w:val="both"/>
        <w:rPr>
          <w:rFonts w:ascii="Bookman Old Style" w:eastAsia="Times New Roman" w:hAnsi="Bookman Old Style" w:cs="Arial"/>
          <w:sz w:val="20"/>
          <w:szCs w:val="20"/>
          <w:lang w:val="es-ES" w:eastAsia="es-ES"/>
        </w:rPr>
      </w:pPr>
      <w:r>
        <w:rPr>
          <w:rFonts w:ascii="Bookman Old Style" w:eastAsia="Times New Roman" w:hAnsi="Bookman Old Style" w:cs="Arial"/>
          <w:sz w:val="20"/>
          <w:szCs w:val="20"/>
          <w:lang w:val="es-ES" w:eastAsia="es-ES"/>
        </w:rPr>
        <w:t>»</w:t>
      </w:r>
      <w:r w:rsidRPr="00352B07">
        <w:rPr>
          <w:rFonts w:ascii="Bookman Old Style" w:eastAsia="Times New Roman" w:hAnsi="Bookman Old Style" w:cs="Arial"/>
          <w:sz w:val="20"/>
          <w:szCs w:val="20"/>
          <w:lang w:val="es-ES" w:eastAsia="es-ES"/>
        </w:rPr>
        <w:t xml:space="preserve">1. La capacidad jurídica y las condiciones de experiencia, capacidad administrativa, operacional y financiera del oferente serán objeto de verificación de </w:t>
      </w:r>
      <w:proofErr w:type="gramStart"/>
      <w:r w:rsidRPr="00352B07">
        <w:rPr>
          <w:rFonts w:ascii="Bookman Old Style" w:eastAsia="Times New Roman" w:hAnsi="Bookman Old Style" w:cs="Arial"/>
          <w:sz w:val="20"/>
          <w:szCs w:val="20"/>
          <w:lang w:val="es-ES" w:eastAsia="es-ES"/>
        </w:rPr>
        <w:t>cumplimiento</w:t>
      </w:r>
      <w:proofErr w:type="gramEnd"/>
      <w:r w:rsidRPr="00352B07">
        <w:rPr>
          <w:rFonts w:ascii="Bookman Old Style" w:eastAsia="Times New Roman" w:hAnsi="Bookman Old Style" w:cs="Arial"/>
          <w:sz w:val="20"/>
          <w:szCs w:val="20"/>
          <w:lang w:val="es-ES" w:eastAsia="es-ES"/>
        </w:rPr>
        <w:t xml:space="preserve"> pero no de calificación, sin perjuicio de lo previsto en el numeral 4o del presente artículo.</w:t>
      </w:r>
    </w:p>
    <w:p w14:paraId="3AC47187" w14:textId="733FC80F" w:rsidR="00352B07" w:rsidRPr="00352B07" w:rsidRDefault="00352B07" w:rsidP="00352B07">
      <w:pPr>
        <w:shd w:val="clear" w:color="auto" w:fill="FFFFFF"/>
        <w:spacing w:after="0" w:line="240" w:lineRule="auto"/>
        <w:ind w:firstLine="709"/>
        <w:jc w:val="both"/>
        <w:rPr>
          <w:rFonts w:ascii="Bookman Old Style" w:eastAsia="Times New Roman" w:hAnsi="Bookman Old Style" w:cs="Arial"/>
          <w:sz w:val="20"/>
          <w:szCs w:val="20"/>
          <w:lang w:val="es-ES" w:eastAsia="es-ES"/>
        </w:rPr>
      </w:pPr>
      <w:r>
        <w:rPr>
          <w:rFonts w:ascii="Bookman Old Style" w:eastAsia="Times New Roman" w:hAnsi="Bookman Old Style" w:cs="Arial"/>
          <w:sz w:val="20"/>
          <w:szCs w:val="20"/>
          <w:lang w:val="es-ES" w:eastAsia="es-ES"/>
        </w:rPr>
        <w:t>»</w:t>
      </w:r>
      <w:r w:rsidRPr="00352B07">
        <w:rPr>
          <w:rFonts w:ascii="Bookman Old Style" w:eastAsia="Times New Roman" w:hAnsi="Bookman Old Style" w:cs="Arial"/>
          <w:sz w:val="20"/>
          <w:szCs w:val="20"/>
          <w:lang w:val="es-ES" w:eastAsia="es-ES"/>
        </w:rPr>
        <w:t>2. La oferta más favorable será aquella que, teniendo en cuenta los factores técnicos y económicos de escogencia y la ponderación matemática precisa y detallada de los mismos, contenida en los pliegos de condiciones o términos de referencia, resulte ser la más ventajosa para la entidad, sin que la favorabilidad la constituyan factores diferentes a los contenidos en dichos documentos y siempre que la misma resulte coherente con la consulta de precios o condiciones del mercado, de conformidad con lo establecido en el artículo 6 del presente decreto.</w:t>
      </w:r>
    </w:p>
    <w:p w14:paraId="1D442E3F" w14:textId="70EAD37E" w:rsidR="00352B07" w:rsidRPr="00352B07" w:rsidRDefault="00352B07" w:rsidP="00352B07">
      <w:pPr>
        <w:shd w:val="clear" w:color="auto" w:fill="FFFFFF"/>
        <w:spacing w:after="0" w:line="240" w:lineRule="auto"/>
        <w:ind w:firstLine="709"/>
        <w:jc w:val="both"/>
        <w:rPr>
          <w:rFonts w:ascii="Bookman Old Style" w:eastAsia="Times New Roman" w:hAnsi="Bookman Old Style" w:cs="Arial"/>
          <w:sz w:val="20"/>
          <w:szCs w:val="20"/>
          <w:lang w:val="es-ES" w:eastAsia="es-ES"/>
        </w:rPr>
      </w:pPr>
      <w:r>
        <w:rPr>
          <w:rFonts w:ascii="Bookman Old Style" w:eastAsia="Times New Roman" w:hAnsi="Bookman Old Style" w:cs="Arial"/>
          <w:sz w:val="20"/>
          <w:szCs w:val="20"/>
          <w:lang w:val="es-ES" w:eastAsia="es-ES"/>
        </w:rPr>
        <w:t>»</w:t>
      </w:r>
      <w:r w:rsidRPr="00352B07">
        <w:rPr>
          <w:rFonts w:ascii="Bookman Old Style" w:eastAsia="Times New Roman" w:hAnsi="Bookman Old Style" w:cs="Arial"/>
          <w:sz w:val="20"/>
          <w:szCs w:val="20"/>
          <w:lang w:val="es-ES" w:eastAsia="es-ES"/>
        </w:rPr>
        <w:t>3. Sin perjuicio de lo previsto en el numeral 1o del presente artículo, para la contratación que tenga como objeto la adquisición o suministro de bienes con características uniformes, las entidades estatales tendrán en cuenta como únicos factores de evaluación aquellos relacionados con el precio y la garantía de calidad de los bienes ofrecidos.</w:t>
      </w:r>
    </w:p>
    <w:p w14:paraId="5BAEF76F" w14:textId="7BC08646" w:rsidR="00352B07" w:rsidRPr="00352B07" w:rsidRDefault="00352B07" w:rsidP="00352B07">
      <w:pPr>
        <w:shd w:val="clear" w:color="auto" w:fill="FFFFFF"/>
        <w:spacing w:after="0" w:line="240" w:lineRule="auto"/>
        <w:ind w:firstLine="709"/>
        <w:jc w:val="both"/>
        <w:rPr>
          <w:rFonts w:ascii="Bookman Old Style" w:eastAsia="Times New Roman" w:hAnsi="Bookman Old Style" w:cs="Arial"/>
          <w:sz w:val="20"/>
          <w:szCs w:val="20"/>
          <w:lang w:val="es-ES" w:eastAsia="es-ES"/>
        </w:rPr>
      </w:pPr>
      <w:r>
        <w:rPr>
          <w:rFonts w:ascii="Bookman Old Style" w:eastAsia="Times New Roman" w:hAnsi="Bookman Old Style" w:cs="Arial"/>
          <w:sz w:val="20"/>
          <w:szCs w:val="20"/>
          <w:lang w:val="es-ES" w:eastAsia="es-ES"/>
        </w:rPr>
        <w:t>»</w:t>
      </w:r>
      <w:r w:rsidRPr="00352B07">
        <w:rPr>
          <w:rFonts w:ascii="Bookman Old Style" w:eastAsia="Times New Roman" w:hAnsi="Bookman Old Style" w:cs="Arial"/>
          <w:sz w:val="20"/>
          <w:szCs w:val="20"/>
          <w:lang w:val="es-ES" w:eastAsia="es-ES"/>
        </w:rPr>
        <w:t>4. Para la contratación que tenga por objeto la prestación de servicios especializados, se hará uso de factores de calificación destinados a valorar primordialmente los aspectos técnicos de la oferta, así como la experiencia relevante del oferente en el campo de que se trate.</w:t>
      </w:r>
    </w:p>
    <w:p w14:paraId="62574147" w14:textId="23EC353A" w:rsidR="00352B07" w:rsidRPr="00352B07" w:rsidRDefault="00352B07" w:rsidP="00352B07">
      <w:pPr>
        <w:shd w:val="clear" w:color="auto" w:fill="FFFFFF"/>
        <w:spacing w:after="0" w:line="240" w:lineRule="auto"/>
        <w:ind w:firstLine="709"/>
        <w:jc w:val="both"/>
        <w:rPr>
          <w:rFonts w:ascii="Bookman Old Style" w:eastAsia="Times New Roman" w:hAnsi="Bookman Old Style" w:cs="Arial"/>
          <w:sz w:val="20"/>
          <w:szCs w:val="20"/>
          <w:lang w:val="es-ES" w:eastAsia="es-ES"/>
        </w:rPr>
      </w:pPr>
      <w:proofErr w:type="gramStart"/>
      <w:r>
        <w:rPr>
          <w:rFonts w:ascii="Bookman Old Style" w:eastAsia="Times New Roman" w:hAnsi="Bookman Old Style" w:cs="Arial"/>
          <w:sz w:val="20"/>
          <w:szCs w:val="20"/>
          <w:lang w:val="es-ES" w:eastAsia="es-ES"/>
        </w:rPr>
        <w:t>»</w:t>
      </w:r>
      <w:r w:rsidRPr="00352B07">
        <w:rPr>
          <w:rFonts w:ascii="Bookman Old Style" w:eastAsia="Times New Roman" w:hAnsi="Bookman Old Style" w:cs="Arial"/>
          <w:sz w:val="20"/>
          <w:szCs w:val="20"/>
          <w:lang w:val="es-ES" w:eastAsia="es-ES"/>
        </w:rPr>
        <w:t>En</w:t>
      </w:r>
      <w:proofErr w:type="gramEnd"/>
      <w:r w:rsidRPr="00352B07">
        <w:rPr>
          <w:rFonts w:ascii="Bookman Old Style" w:eastAsia="Times New Roman" w:hAnsi="Bookman Old Style" w:cs="Arial"/>
          <w:sz w:val="20"/>
          <w:szCs w:val="20"/>
          <w:lang w:val="es-ES" w:eastAsia="es-ES"/>
        </w:rPr>
        <w:t xml:space="preserve"> los procesos para la adquisición de bienes y servicios para la defensa y seguridad nacional, se preferirá la aplicación de las normas contenidas en el presente decreto cuando ello sea posible.</w:t>
      </w:r>
    </w:p>
    <w:p w14:paraId="48702678" w14:textId="418F3AF2" w:rsidR="00352B07" w:rsidRPr="00352B07" w:rsidRDefault="00352B07" w:rsidP="00352B07">
      <w:pPr>
        <w:shd w:val="clear" w:color="auto" w:fill="FFFFFF"/>
        <w:spacing w:after="0" w:line="240" w:lineRule="auto"/>
        <w:ind w:firstLine="709"/>
        <w:jc w:val="both"/>
        <w:rPr>
          <w:rFonts w:ascii="Bookman Old Style" w:eastAsia="Times New Roman" w:hAnsi="Bookman Old Style" w:cs="Arial"/>
          <w:sz w:val="20"/>
          <w:szCs w:val="20"/>
          <w:lang w:val="es-ES" w:eastAsia="es-ES"/>
        </w:rPr>
      </w:pPr>
      <w:proofErr w:type="gramStart"/>
      <w:r>
        <w:rPr>
          <w:rFonts w:ascii="Bookman Old Style" w:eastAsia="Times New Roman" w:hAnsi="Bookman Old Style" w:cs="Arial"/>
          <w:b/>
          <w:bCs/>
          <w:sz w:val="20"/>
          <w:szCs w:val="20"/>
          <w:lang w:val="es-ES" w:eastAsia="es-ES"/>
        </w:rPr>
        <w:t>»</w:t>
      </w:r>
      <w:r w:rsidRPr="00352B07">
        <w:rPr>
          <w:rFonts w:ascii="Bookman Old Style" w:eastAsia="Times New Roman" w:hAnsi="Bookman Old Style" w:cs="Arial"/>
          <w:b/>
          <w:bCs/>
          <w:sz w:val="20"/>
          <w:szCs w:val="20"/>
          <w:lang w:val="es-ES" w:eastAsia="es-ES"/>
        </w:rPr>
        <w:t>Parágrafo</w:t>
      </w:r>
      <w:proofErr w:type="gramEnd"/>
      <w:r w:rsidRPr="00352B07">
        <w:rPr>
          <w:rFonts w:ascii="Bookman Old Style" w:eastAsia="Times New Roman" w:hAnsi="Bookman Old Style" w:cs="Arial"/>
          <w:sz w:val="20"/>
          <w:szCs w:val="20"/>
          <w:lang w:val="es-ES" w:eastAsia="es-ES"/>
        </w:rPr>
        <w:t>. En desarrollo de lo previsto en el inciso 2o del numeral 15 del artículo 25 de la Ley 80 de 1993, los documentos y requisitos allí relacionados podrán ser solicitados por las entidades en cualquier momento, hasta la adjudicación</w:t>
      </w:r>
      <w:r>
        <w:rPr>
          <w:rFonts w:ascii="Bookman Old Style" w:eastAsia="Times New Roman" w:hAnsi="Bookman Old Style" w:cs="Arial"/>
          <w:sz w:val="20"/>
          <w:szCs w:val="20"/>
          <w:lang w:val="es-ES" w:eastAsia="es-ES"/>
        </w:rPr>
        <w:t>»</w:t>
      </w:r>
      <w:r w:rsidRPr="00352B07">
        <w:rPr>
          <w:rFonts w:ascii="Bookman Old Style" w:eastAsia="Times New Roman" w:hAnsi="Bookman Old Style" w:cs="Arial"/>
          <w:sz w:val="20"/>
          <w:szCs w:val="20"/>
          <w:lang w:val="es-ES" w:eastAsia="es-ES"/>
        </w:rPr>
        <w:t>.</w:t>
      </w:r>
    </w:p>
    <w:p w14:paraId="2748D4F8" w14:textId="1180B618" w:rsidR="00352B07" w:rsidRDefault="00352B07">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661A1" w14:textId="77777777" w:rsidR="00FC15BA" w:rsidRDefault="00FC15BA">
    <w:pPr>
      <w:pStyle w:val="Encabezado"/>
    </w:pPr>
    <w:r>
      <w:rPr>
        <w:noProof/>
      </w:rPr>
      <w:pict w14:anchorId="71C5F4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4.4pt;margin-top:-109.05pt;width:611.95pt;height:796.75pt;z-index:-251658752;mso-wrap-edited:f;mso-position-horizontal-relative:margin;mso-position-vertical-relative:margin" wrapcoords="1800 1105 1641 1166 1429 1350 1429 1514 1535 1759 1429 2066 1456 2189 8153 2414 10800 2414 10800 14195 17021 14502 16676 14584 15988 14809 15432 15177 15062 15505 14797 15832 14638 16098 14453 16486 14374 16814 14321 17141 14374 17795 14479 18123 14876 18777 15194 19105 15644 19432 16306 19759 10826 20086 -26 20373 -26 21027 9344 21027 9344 20741 20144 20434 20197 20373 10800 20086 15379 20086 20144 19923 20171 18266 19932 18266 15618 18123 15538 17468 15644 16159 20038 16098 20038 14605 19879 14584 18318 14461 10800 14195 10774 2414 5347 2086 5347 1861 5215 1759 5056 1432 20118 1207 20118 1125 4897 1105 1800 1105">
          <v:imagedata r:id="rId1" o:title="CEDA_0417_MEMBRETE_0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1B5"/>
    <w:multiLevelType w:val="hybridMultilevel"/>
    <w:tmpl w:val="22068E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886283"/>
    <w:multiLevelType w:val="multilevel"/>
    <w:tmpl w:val="126E7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164939"/>
    <w:multiLevelType w:val="hybridMultilevel"/>
    <w:tmpl w:val="537EA0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3037DE"/>
    <w:multiLevelType w:val="hybridMultilevel"/>
    <w:tmpl w:val="95A2D31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96F5D98"/>
    <w:multiLevelType w:val="multilevel"/>
    <w:tmpl w:val="BB14911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24285DE0"/>
    <w:multiLevelType w:val="hybridMultilevel"/>
    <w:tmpl w:val="805E18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66F7419"/>
    <w:multiLevelType w:val="hybridMultilevel"/>
    <w:tmpl w:val="5DBED5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92875D7"/>
    <w:multiLevelType w:val="hybridMultilevel"/>
    <w:tmpl w:val="09F2EA9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543B3492"/>
    <w:multiLevelType w:val="hybridMultilevel"/>
    <w:tmpl w:val="ADDC44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88127E0"/>
    <w:multiLevelType w:val="hybridMultilevel"/>
    <w:tmpl w:val="2C3A25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14550F3"/>
    <w:multiLevelType w:val="hybridMultilevel"/>
    <w:tmpl w:val="72C455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255118E"/>
    <w:multiLevelType w:val="multilevel"/>
    <w:tmpl w:val="9B42BAE6"/>
    <w:lvl w:ilvl="0">
      <w:start w:val="1"/>
      <w:numFmt w:val="decimal"/>
      <w:lvlText w:val="%1."/>
      <w:lvlJc w:val="left"/>
      <w:pPr>
        <w:ind w:left="360" w:hanging="360"/>
      </w:pPr>
      <w:rPr>
        <w:rFonts w:hint="default"/>
        <w:i w:val="0"/>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72334C3F"/>
    <w:multiLevelType w:val="hybridMultilevel"/>
    <w:tmpl w:val="027830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592221B"/>
    <w:multiLevelType w:val="hybridMultilevel"/>
    <w:tmpl w:val="621674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7F36D3B"/>
    <w:multiLevelType w:val="multilevel"/>
    <w:tmpl w:val="651A2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CB21A08"/>
    <w:multiLevelType w:val="hybridMultilevel"/>
    <w:tmpl w:val="07D029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0"/>
  </w:num>
  <w:num w:numId="5">
    <w:abstractNumId w:val="6"/>
  </w:num>
  <w:num w:numId="6">
    <w:abstractNumId w:val="7"/>
  </w:num>
  <w:num w:numId="7">
    <w:abstractNumId w:val="10"/>
  </w:num>
  <w:num w:numId="8">
    <w:abstractNumId w:val="8"/>
  </w:num>
  <w:num w:numId="9">
    <w:abstractNumId w:val="15"/>
  </w:num>
  <w:num w:numId="10">
    <w:abstractNumId w:val="9"/>
  </w:num>
  <w:num w:numId="11">
    <w:abstractNumId w:val="2"/>
  </w:num>
  <w:num w:numId="12">
    <w:abstractNumId w:val="5"/>
  </w:num>
  <w:num w:numId="13">
    <w:abstractNumId w:val="13"/>
  </w:num>
  <w:num w:numId="14">
    <w:abstractNumId w:val="12"/>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F87"/>
    <w:rsid w:val="00002B5E"/>
    <w:rsid w:val="0000339D"/>
    <w:rsid w:val="00003A21"/>
    <w:rsid w:val="00004C16"/>
    <w:rsid w:val="000062A5"/>
    <w:rsid w:val="00007F3C"/>
    <w:rsid w:val="00012770"/>
    <w:rsid w:val="00013905"/>
    <w:rsid w:val="00017E70"/>
    <w:rsid w:val="00020BF2"/>
    <w:rsid w:val="00022B6E"/>
    <w:rsid w:val="00026C91"/>
    <w:rsid w:val="000275D6"/>
    <w:rsid w:val="00032909"/>
    <w:rsid w:val="00033661"/>
    <w:rsid w:val="00035F4D"/>
    <w:rsid w:val="000372CE"/>
    <w:rsid w:val="0004093F"/>
    <w:rsid w:val="00043BA9"/>
    <w:rsid w:val="000445D9"/>
    <w:rsid w:val="0004483F"/>
    <w:rsid w:val="00045A09"/>
    <w:rsid w:val="0004795D"/>
    <w:rsid w:val="000539F0"/>
    <w:rsid w:val="00054676"/>
    <w:rsid w:val="00054855"/>
    <w:rsid w:val="00054AEB"/>
    <w:rsid w:val="00054C8E"/>
    <w:rsid w:val="00056644"/>
    <w:rsid w:val="00057231"/>
    <w:rsid w:val="00060D23"/>
    <w:rsid w:val="00060D5E"/>
    <w:rsid w:val="00063324"/>
    <w:rsid w:val="00063E7B"/>
    <w:rsid w:val="00064483"/>
    <w:rsid w:val="00065E56"/>
    <w:rsid w:val="00072666"/>
    <w:rsid w:val="000729C5"/>
    <w:rsid w:val="00073194"/>
    <w:rsid w:val="0007466D"/>
    <w:rsid w:val="00077F86"/>
    <w:rsid w:val="00080D3E"/>
    <w:rsid w:val="000825C8"/>
    <w:rsid w:val="00083463"/>
    <w:rsid w:val="00084CF8"/>
    <w:rsid w:val="00085174"/>
    <w:rsid w:val="00086C47"/>
    <w:rsid w:val="000875A5"/>
    <w:rsid w:val="00090F59"/>
    <w:rsid w:val="00092D43"/>
    <w:rsid w:val="00095168"/>
    <w:rsid w:val="000953AE"/>
    <w:rsid w:val="00096F89"/>
    <w:rsid w:val="000A1780"/>
    <w:rsid w:val="000A22CE"/>
    <w:rsid w:val="000A3EAA"/>
    <w:rsid w:val="000B03F8"/>
    <w:rsid w:val="000B3A4E"/>
    <w:rsid w:val="000B4168"/>
    <w:rsid w:val="000B67D8"/>
    <w:rsid w:val="000B6A03"/>
    <w:rsid w:val="000C07F5"/>
    <w:rsid w:val="000C0C2E"/>
    <w:rsid w:val="000C10CE"/>
    <w:rsid w:val="000C114A"/>
    <w:rsid w:val="000C280F"/>
    <w:rsid w:val="000C345D"/>
    <w:rsid w:val="000C3CFE"/>
    <w:rsid w:val="000C41A4"/>
    <w:rsid w:val="000C71B0"/>
    <w:rsid w:val="000C75D2"/>
    <w:rsid w:val="000D1044"/>
    <w:rsid w:val="000D2BB4"/>
    <w:rsid w:val="000E02BF"/>
    <w:rsid w:val="000E0D3A"/>
    <w:rsid w:val="000E2856"/>
    <w:rsid w:val="000E3291"/>
    <w:rsid w:val="000E40A7"/>
    <w:rsid w:val="000E50DA"/>
    <w:rsid w:val="000E57A8"/>
    <w:rsid w:val="000F3802"/>
    <w:rsid w:val="000F4353"/>
    <w:rsid w:val="001027CD"/>
    <w:rsid w:val="0010281F"/>
    <w:rsid w:val="0010332C"/>
    <w:rsid w:val="00103507"/>
    <w:rsid w:val="0010377A"/>
    <w:rsid w:val="00103FA5"/>
    <w:rsid w:val="00104E20"/>
    <w:rsid w:val="00104ED6"/>
    <w:rsid w:val="001102E0"/>
    <w:rsid w:val="001131B4"/>
    <w:rsid w:val="00116DD8"/>
    <w:rsid w:val="0012009F"/>
    <w:rsid w:val="00122514"/>
    <w:rsid w:val="00122B2F"/>
    <w:rsid w:val="00123E4E"/>
    <w:rsid w:val="00126A07"/>
    <w:rsid w:val="001272DB"/>
    <w:rsid w:val="001274C8"/>
    <w:rsid w:val="00127678"/>
    <w:rsid w:val="00127F0A"/>
    <w:rsid w:val="00131246"/>
    <w:rsid w:val="00135168"/>
    <w:rsid w:val="0013691D"/>
    <w:rsid w:val="00137D80"/>
    <w:rsid w:val="001423CB"/>
    <w:rsid w:val="0014266F"/>
    <w:rsid w:val="00143891"/>
    <w:rsid w:val="00144D3E"/>
    <w:rsid w:val="00145F4B"/>
    <w:rsid w:val="00147F40"/>
    <w:rsid w:val="00150A5D"/>
    <w:rsid w:val="00150FD7"/>
    <w:rsid w:val="00153E62"/>
    <w:rsid w:val="001559BB"/>
    <w:rsid w:val="00156C00"/>
    <w:rsid w:val="00157156"/>
    <w:rsid w:val="0016171E"/>
    <w:rsid w:val="001617E3"/>
    <w:rsid w:val="0016202A"/>
    <w:rsid w:val="001622F3"/>
    <w:rsid w:val="00164144"/>
    <w:rsid w:val="00164270"/>
    <w:rsid w:val="001655C3"/>
    <w:rsid w:val="00165A2A"/>
    <w:rsid w:val="00167EF5"/>
    <w:rsid w:val="00171FBD"/>
    <w:rsid w:val="00172AA5"/>
    <w:rsid w:val="00175F91"/>
    <w:rsid w:val="0017642B"/>
    <w:rsid w:val="001766FD"/>
    <w:rsid w:val="00180C4F"/>
    <w:rsid w:val="001815B5"/>
    <w:rsid w:val="00182441"/>
    <w:rsid w:val="00184DCB"/>
    <w:rsid w:val="0018552B"/>
    <w:rsid w:val="00192496"/>
    <w:rsid w:val="00194E17"/>
    <w:rsid w:val="001950FD"/>
    <w:rsid w:val="00195BAF"/>
    <w:rsid w:val="00197648"/>
    <w:rsid w:val="00197CA3"/>
    <w:rsid w:val="00197D1C"/>
    <w:rsid w:val="001A0A94"/>
    <w:rsid w:val="001A7477"/>
    <w:rsid w:val="001B1F02"/>
    <w:rsid w:val="001B2AFD"/>
    <w:rsid w:val="001B35EE"/>
    <w:rsid w:val="001B51AB"/>
    <w:rsid w:val="001C1EB0"/>
    <w:rsid w:val="001C3162"/>
    <w:rsid w:val="001C4A6F"/>
    <w:rsid w:val="001C4DDE"/>
    <w:rsid w:val="001C5D4E"/>
    <w:rsid w:val="001C74A8"/>
    <w:rsid w:val="001C7918"/>
    <w:rsid w:val="001D05D1"/>
    <w:rsid w:val="001D0D91"/>
    <w:rsid w:val="001D1406"/>
    <w:rsid w:val="001D38E5"/>
    <w:rsid w:val="001D6F1D"/>
    <w:rsid w:val="001E05EB"/>
    <w:rsid w:val="001E1A65"/>
    <w:rsid w:val="001E23D7"/>
    <w:rsid w:val="001E3FA7"/>
    <w:rsid w:val="001F0674"/>
    <w:rsid w:val="001F2366"/>
    <w:rsid w:val="001F348F"/>
    <w:rsid w:val="001F3A48"/>
    <w:rsid w:val="001F6A8A"/>
    <w:rsid w:val="00203174"/>
    <w:rsid w:val="00204997"/>
    <w:rsid w:val="002056A1"/>
    <w:rsid w:val="00205D36"/>
    <w:rsid w:val="0020662A"/>
    <w:rsid w:val="0020703F"/>
    <w:rsid w:val="00207A26"/>
    <w:rsid w:val="00207B30"/>
    <w:rsid w:val="00210BAF"/>
    <w:rsid w:val="0021150F"/>
    <w:rsid w:val="0021365C"/>
    <w:rsid w:val="00214A96"/>
    <w:rsid w:val="00214F8D"/>
    <w:rsid w:val="00215669"/>
    <w:rsid w:val="002156D1"/>
    <w:rsid w:val="002209F4"/>
    <w:rsid w:val="00225E86"/>
    <w:rsid w:val="00225EAE"/>
    <w:rsid w:val="002272C0"/>
    <w:rsid w:val="0022786B"/>
    <w:rsid w:val="00230A99"/>
    <w:rsid w:val="0023124F"/>
    <w:rsid w:val="0023147D"/>
    <w:rsid w:val="00232EA3"/>
    <w:rsid w:val="00233C7B"/>
    <w:rsid w:val="00235187"/>
    <w:rsid w:val="0023547C"/>
    <w:rsid w:val="002365D4"/>
    <w:rsid w:val="00236907"/>
    <w:rsid w:val="002379DF"/>
    <w:rsid w:val="00240F1E"/>
    <w:rsid w:val="002418CB"/>
    <w:rsid w:val="00242857"/>
    <w:rsid w:val="00243B17"/>
    <w:rsid w:val="00243FAB"/>
    <w:rsid w:val="002468C6"/>
    <w:rsid w:val="00246D6C"/>
    <w:rsid w:val="0024720F"/>
    <w:rsid w:val="00247E4E"/>
    <w:rsid w:val="00253017"/>
    <w:rsid w:val="00257E85"/>
    <w:rsid w:val="002613B0"/>
    <w:rsid w:val="0026167F"/>
    <w:rsid w:val="002627CF"/>
    <w:rsid w:val="002630FD"/>
    <w:rsid w:val="00263924"/>
    <w:rsid w:val="00263971"/>
    <w:rsid w:val="00265075"/>
    <w:rsid w:val="002650E7"/>
    <w:rsid w:val="0026563D"/>
    <w:rsid w:val="00265B7C"/>
    <w:rsid w:val="00271CBB"/>
    <w:rsid w:val="00273182"/>
    <w:rsid w:val="002762F9"/>
    <w:rsid w:val="00277EA9"/>
    <w:rsid w:val="002807E5"/>
    <w:rsid w:val="00281011"/>
    <w:rsid w:val="00282265"/>
    <w:rsid w:val="0028275C"/>
    <w:rsid w:val="00283713"/>
    <w:rsid w:val="00284A9A"/>
    <w:rsid w:val="00284C85"/>
    <w:rsid w:val="002860D7"/>
    <w:rsid w:val="002863FC"/>
    <w:rsid w:val="00286732"/>
    <w:rsid w:val="00287522"/>
    <w:rsid w:val="00287BBE"/>
    <w:rsid w:val="00287EAA"/>
    <w:rsid w:val="00291288"/>
    <w:rsid w:val="00292189"/>
    <w:rsid w:val="00294A69"/>
    <w:rsid w:val="002A14D3"/>
    <w:rsid w:val="002A1D73"/>
    <w:rsid w:val="002A2F1D"/>
    <w:rsid w:val="002A6752"/>
    <w:rsid w:val="002A6929"/>
    <w:rsid w:val="002B10A2"/>
    <w:rsid w:val="002B1E0E"/>
    <w:rsid w:val="002B22AC"/>
    <w:rsid w:val="002B45DD"/>
    <w:rsid w:val="002B4CC6"/>
    <w:rsid w:val="002B5136"/>
    <w:rsid w:val="002B54B3"/>
    <w:rsid w:val="002B5D6B"/>
    <w:rsid w:val="002B6242"/>
    <w:rsid w:val="002B685A"/>
    <w:rsid w:val="002B739A"/>
    <w:rsid w:val="002C14F5"/>
    <w:rsid w:val="002C1F4F"/>
    <w:rsid w:val="002C2219"/>
    <w:rsid w:val="002C27F1"/>
    <w:rsid w:val="002C6019"/>
    <w:rsid w:val="002D06B2"/>
    <w:rsid w:val="002D0903"/>
    <w:rsid w:val="002D2C55"/>
    <w:rsid w:val="002D31EB"/>
    <w:rsid w:val="002D3FD6"/>
    <w:rsid w:val="002D5810"/>
    <w:rsid w:val="002E0854"/>
    <w:rsid w:val="002E2D32"/>
    <w:rsid w:val="002E451E"/>
    <w:rsid w:val="002E5B88"/>
    <w:rsid w:val="002E6A5F"/>
    <w:rsid w:val="002E6C24"/>
    <w:rsid w:val="002E7B05"/>
    <w:rsid w:val="002E7F83"/>
    <w:rsid w:val="002F0D77"/>
    <w:rsid w:val="002F126D"/>
    <w:rsid w:val="002F2951"/>
    <w:rsid w:val="002F3AE6"/>
    <w:rsid w:val="002F50D2"/>
    <w:rsid w:val="002F6437"/>
    <w:rsid w:val="002F68A1"/>
    <w:rsid w:val="002F74CB"/>
    <w:rsid w:val="0030047F"/>
    <w:rsid w:val="0030771B"/>
    <w:rsid w:val="00307812"/>
    <w:rsid w:val="00307C19"/>
    <w:rsid w:val="00311027"/>
    <w:rsid w:val="00322FC6"/>
    <w:rsid w:val="0032367B"/>
    <w:rsid w:val="0032387B"/>
    <w:rsid w:val="00326E58"/>
    <w:rsid w:val="003273EB"/>
    <w:rsid w:val="003279D2"/>
    <w:rsid w:val="00330BB2"/>
    <w:rsid w:val="00333A4E"/>
    <w:rsid w:val="00333D07"/>
    <w:rsid w:val="00335172"/>
    <w:rsid w:val="00335AE2"/>
    <w:rsid w:val="00337AAF"/>
    <w:rsid w:val="00340B14"/>
    <w:rsid w:val="00341CF4"/>
    <w:rsid w:val="00342434"/>
    <w:rsid w:val="00344D7E"/>
    <w:rsid w:val="00345370"/>
    <w:rsid w:val="00350581"/>
    <w:rsid w:val="003512C6"/>
    <w:rsid w:val="00351662"/>
    <w:rsid w:val="00352B07"/>
    <w:rsid w:val="00352D00"/>
    <w:rsid w:val="00354F6D"/>
    <w:rsid w:val="0035507B"/>
    <w:rsid w:val="00355CD2"/>
    <w:rsid w:val="0035699B"/>
    <w:rsid w:val="00357BC5"/>
    <w:rsid w:val="003600D4"/>
    <w:rsid w:val="003603CA"/>
    <w:rsid w:val="0036061E"/>
    <w:rsid w:val="00361C62"/>
    <w:rsid w:val="00361D60"/>
    <w:rsid w:val="00363741"/>
    <w:rsid w:val="003638B8"/>
    <w:rsid w:val="00363A52"/>
    <w:rsid w:val="00363E11"/>
    <w:rsid w:val="00364009"/>
    <w:rsid w:val="00366BC9"/>
    <w:rsid w:val="00367EC4"/>
    <w:rsid w:val="003703FF"/>
    <w:rsid w:val="00371354"/>
    <w:rsid w:val="0037368B"/>
    <w:rsid w:val="0037437A"/>
    <w:rsid w:val="003755E0"/>
    <w:rsid w:val="00376E7E"/>
    <w:rsid w:val="00380C1D"/>
    <w:rsid w:val="00381174"/>
    <w:rsid w:val="00384643"/>
    <w:rsid w:val="00385926"/>
    <w:rsid w:val="00390C5F"/>
    <w:rsid w:val="00392D3F"/>
    <w:rsid w:val="003934B4"/>
    <w:rsid w:val="00393756"/>
    <w:rsid w:val="00394544"/>
    <w:rsid w:val="003957C6"/>
    <w:rsid w:val="00395BC9"/>
    <w:rsid w:val="003978E4"/>
    <w:rsid w:val="003A01E6"/>
    <w:rsid w:val="003A03E3"/>
    <w:rsid w:val="003A0A79"/>
    <w:rsid w:val="003A122C"/>
    <w:rsid w:val="003A1B57"/>
    <w:rsid w:val="003A323A"/>
    <w:rsid w:val="003A34C6"/>
    <w:rsid w:val="003A5802"/>
    <w:rsid w:val="003A65B4"/>
    <w:rsid w:val="003A6825"/>
    <w:rsid w:val="003B0A76"/>
    <w:rsid w:val="003B1507"/>
    <w:rsid w:val="003B1CC7"/>
    <w:rsid w:val="003B1F45"/>
    <w:rsid w:val="003B3991"/>
    <w:rsid w:val="003B4077"/>
    <w:rsid w:val="003B43C3"/>
    <w:rsid w:val="003B5019"/>
    <w:rsid w:val="003B5783"/>
    <w:rsid w:val="003B6064"/>
    <w:rsid w:val="003C0B8C"/>
    <w:rsid w:val="003C5CA6"/>
    <w:rsid w:val="003C718F"/>
    <w:rsid w:val="003D0765"/>
    <w:rsid w:val="003D30E8"/>
    <w:rsid w:val="003D40A3"/>
    <w:rsid w:val="003D4F1A"/>
    <w:rsid w:val="003D5070"/>
    <w:rsid w:val="003D610E"/>
    <w:rsid w:val="003D6A3F"/>
    <w:rsid w:val="003D7054"/>
    <w:rsid w:val="003D7787"/>
    <w:rsid w:val="003E25B1"/>
    <w:rsid w:val="003E26B1"/>
    <w:rsid w:val="003E2ED6"/>
    <w:rsid w:val="003E3B3C"/>
    <w:rsid w:val="003E6433"/>
    <w:rsid w:val="003E777F"/>
    <w:rsid w:val="003F06D8"/>
    <w:rsid w:val="003F1264"/>
    <w:rsid w:val="003F1D5A"/>
    <w:rsid w:val="003F2D66"/>
    <w:rsid w:val="003F32C8"/>
    <w:rsid w:val="003F5561"/>
    <w:rsid w:val="003F7DF9"/>
    <w:rsid w:val="00400CFC"/>
    <w:rsid w:val="00400D4C"/>
    <w:rsid w:val="00401159"/>
    <w:rsid w:val="00401C18"/>
    <w:rsid w:val="00401D40"/>
    <w:rsid w:val="00402445"/>
    <w:rsid w:val="004124D7"/>
    <w:rsid w:val="00412BD0"/>
    <w:rsid w:val="00413581"/>
    <w:rsid w:val="004154F0"/>
    <w:rsid w:val="00415A0F"/>
    <w:rsid w:val="00416AC8"/>
    <w:rsid w:val="004174F3"/>
    <w:rsid w:val="004203E4"/>
    <w:rsid w:val="00425B1E"/>
    <w:rsid w:val="004262A9"/>
    <w:rsid w:val="0042680D"/>
    <w:rsid w:val="00426DFD"/>
    <w:rsid w:val="004276AC"/>
    <w:rsid w:val="00427C97"/>
    <w:rsid w:val="00427CA7"/>
    <w:rsid w:val="00430F69"/>
    <w:rsid w:val="0043174A"/>
    <w:rsid w:val="00431F62"/>
    <w:rsid w:val="004322E7"/>
    <w:rsid w:val="0043568D"/>
    <w:rsid w:val="00437B06"/>
    <w:rsid w:val="00442148"/>
    <w:rsid w:val="00443F63"/>
    <w:rsid w:val="00447CA7"/>
    <w:rsid w:val="0045122B"/>
    <w:rsid w:val="00451A66"/>
    <w:rsid w:val="004530F5"/>
    <w:rsid w:val="004546CB"/>
    <w:rsid w:val="004547C3"/>
    <w:rsid w:val="004549D2"/>
    <w:rsid w:val="00454D57"/>
    <w:rsid w:val="0045533F"/>
    <w:rsid w:val="00457F83"/>
    <w:rsid w:val="0046174D"/>
    <w:rsid w:val="004632E5"/>
    <w:rsid w:val="00465118"/>
    <w:rsid w:val="0046526E"/>
    <w:rsid w:val="004674E2"/>
    <w:rsid w:val="00470088"/>
    <w:rsid w:val="00470835"/>
    <w:rsid w:val="0047097E"/>
    <w:rsid w:val="00470AC6"/>
    <w:rsid w:val="00471314"/>
    <w:rsid w:val="00471FCA"/>
    <w:rsid w:val="004732DA"/>
    <w:rsid w:val="00476D7A"/>
    <w:rsid w:val="0048092A"/>
    <w:rsid w:val="00480BC9"/>
    <w:rsid w:val="00481DFF"/>
    <w:rsid w:val="0048200D"/>
    <w:rsid w:val="00482A53"/>
    <w:rsid w:val="00483792"/>
    <w:rsid w:val="00484063"/>
    <w:rsid w:val="004844D6"/>
    <w:rsid w:val="00486454"/>
    <w:rsid w:val="004874E5"/>
    <w:rsid w:val="0049118E"/>
    <w:rsid w:val="0049126E"/>
    <w:rsid w:val="00492962"/>
    <w:rsid w:val="00492D48"/>
    <w:rsid w:val="00493F5E"/>
    <w:rsid w:val="0049553C"/>
    <w:rsid w:val="00495A84"/>
    <w:rsid w:val="004974D2"/>
    <w:rsid w:val="004A06C2"/>
    <w:rsid w:val="004A1625"/>
    <w:rsid w:val="004A315E"/>
    <w:rsid w:val="004A4FD2"/>
    <w:rsid w:val="004B1D86"/>
    <w:rsid w:val="004B2058"/>
    <w:rsid w:val="004B24E0"/>
    <w:rsid w:val="004B4227"/>
    <w:rsid w:val="004B450C"/>
    <w:rsid w:val="004B4EE5"/>
    <w:rsid w:val="004B6E72"/>
    <w:rsid w:val="004B7C02"/>
    <w:rsid w:val="004C01E4"/>
    <w:rsid w:val="004C15AA"/>
    <w:rsid w:val="004C254A"/>
    <w:rsid w:val="004C2F91"/>
    <w:rsid w:val="004C3A72"/>
    <w:rsid w:val="004C4CB6"/>
    <w:rsid w:val="004C67D7"/>
    <w:rsid w:val="004C6EB1"/>
    <w:rsid w:val="004C7082"/>
    <w:rsid w:val="004C76F7"/>
    <w:rsid w:val="004D0BF7"/>
    <w:rsid w:val="004D3A8E"/>
    <w:rsid w:val="004D7641"/>
    <w:rsid w:val="004E0AF5"/>
    <w:rsid w:val="004E213E"/>
    <w:rsid w:val="004E25B3"/>
    <w:rsid w:val="004E2722"/>
    <w:rsid w:val="004E34D5"/>
    <w:rsid w:val="004E35CD"/>
    <w:rsid w:val="004E4261"/>
    <w:rsid w:val="004E4D5A"/>
    <w:rsid w:val="004E57FA"/>
    <w:rsid w:val="004E64C1"/>
    <w:rsid w:val="004E6ADA"/>
    <w:rsid w:val="004E7CEF"/>
    <w:rsid w:val="004F0150"/>
    <w:rsid w:val="004F1F66"/>
    <w:rsid w:val="004F5EDA"/>
    <w:rsid w:val="004F6F40"/>
    <w:rsid w:val="004F6F62"/>
    <w:rsid w:val="00501B12"/>
    <w:rsid w:val="00501B77"/>
    <w:rsid w:val="005028DD"/>
    <w:rsid w:val="00502E57"/>
    <w:rsid w:val="00505771"/>
    <w:rsid w:val="0051089B"/>
    <w:rsid w:val="0051125F"/>
    <w:rsid w:val="0051182B"/>
    <w:rsid w:val="005119B2"/>
    <w:rsid w:val="00512E2D"/>
    <w:rsid w:val="00513F41"/>
    <w:rsid w:val="0051444C"/>
    <w:rsid w:val="00514E9B"/>
    <w:rsid w:val="005151AC"/>
    <w:rsid w:val="00515D8E"/>
    <w:rsid w:val="00517905"/>
    <w:rsid w:val="00520CA2"/>
    <w:rsid w:val="0052460C"/>
    <w:rsid w:val="005253D3"/>
    <w:rsid w:val="00526D13"/>
    <w:rsid w:val="00527BB5"/>
    <w:rsid w:val="00531215"/>
    <w:rsid w:val="00531564"/>
    <w:rsid w:val="00534BD4"/>
    <w:rsid w:val="0053565A"/>
    <w:rsid w:val="005359BE"/>
    <w:rsid w:val="005376A5"/>
    <w:rsid w:val="00537FE4"/>
    <w:rsid w:val="00540A10"/>
    <w:rsid w:val="00541426"/>
    <w:rsid w:val="0054303A"/>
    <w:rsid w:val="00545942"/>
    <w:rsid w:val="0054713A"/>
    <w:rsid w:val="00552A37"/>
    <w:rsid w:val="00553476"/>
    <w:rsid w:val="00554058"/>
    <w:rsid w:val="00554CCF"/>
    <w:rsid w:val="005558E7"/>
    <w:rsid w:val="00555BD0"/>
    <w:rsid w:val="00557437"/>
    <w:rsid w:val="0055777D"/>
    <w:rsid w:val="0055794E"/>
    <w:rsid w:val="00557B65"/>
    <w:rsid w:val="00557D06"/>
    <w:rsid w:val="005601BE"/>
    <w:rsid w:val="00561293"/>
    <w:rsid w:val="00561779"/>
    <w:rsid w:val="00561864"/>
    <w:rsid w:val="00562A17"/>
    <w:rsid w:val="00563D34"/>
    <w:rsid w:val="00564995"/>
    <w:rsid w:val="005655BD"/>
    <w:rsid w:val="00565D56"/>
    <w:rsid w:val="0056719D"/>
    <w:rsid w:val="005709BE"/>
    <w:rsid w:val="0057585E"/>
    <w:rsid w:val="0057715A"/>
    <w:rsid w:val="00580883"/>
    <w:rsid w:val="00580AAF"/>
    <w:rsid w:val="00581F54"/>
    <w:rsid w:val="005843B6"/>
    <w:rsid w:val="00585207"/>
    <w:rsid w:val="00586665"/>
    <w:rsid w:val="005866C6"/>
    <w:rsid w:val="00593078"/>
    <w:rsid w:val="0059534E"/>
    <w:rsid w:val="005A2479"/>
    <w:rsid w:val="005A24F8"/>
    <w:rsid w:val="005A381F"/>
    <w:rsid w:val="005A53E1"/>
    <w:rsid w:val="005A5CE7"/>
    <w:rsid w:val="005A70C2"/>
    <w:rsid w:val="005A713F"/>
    <w:rsid w:val="005A7259"/>
    <w:rsid w:val="005A7A2F"/>
    <w:rsid w:val="005B0330"/>
    <w:rsid w:val="005B1323"/>
    <w:rsid w:val="005B1332"/>
    <w:rsid w:val="005B1C4E"/>
    <w:rsid w:val="005B4B6F"/>
    <w:rsid w:val="005B6409"/>
    <w:rsid w:val="005B6832"/>
    <w:rsid w:val="005B6957"/>
    <w:rsid w:val="005B7E81"/>
    <w:rsid w:val="005C0E5A"/>
    <w:rsid w:val="005C1E6D"/>
    <w:rsid w:val="005C218D"/>
    <w:rsid w:val="005C23FB"/>
    <w:rsid w:val="005C29A2"/>
    <w:rsid w:val="005C3A0B"/>
    <w:rsid w:val="005C3BF1"/>
    <w:rsid w:val="005C55E7"/>
    <w:rsid w:val="005C5C7C"/>
    <w:rsid w:val="005C62B5"/>
    <w:rsid w:val="005C65D4"/>
    <w:rsid w:val="005C7EF2"/>
    <w:rsid w:val="005D002C"/>
    <w:rsid w:val="005D0952"/>
    <w:rsid w:val="005D0BB4"/>
    <w:rsid w:val="005D0F24"/>
    <w:rsid w:val="005D2613"/>
    <w:rsid w:val="005D28E3"/>
    <w:rsid w:val="005D3B69"/>
    <w:rsid w:val="005D3F68"/>
    <w:rsid w:val="005D408B"/>
    <w:rsid w:val="005D5D2E"/>
    <w:rsid w:val="005D70D3"/>
    <w:rsid w:val="005D7D06"/>
    <w:rsid w:val="005E01EC"/>
    <w:rsid w:val="005E0696"/>
    <w:rsid w:val="005E349C"/>
    <w:rsid w:val="005E522C"/>
    <w:rsid w:val="005E6559"/>
    <w:rsid w:val="005E6C67"/>
    <w:rsid w:val="005E70B4"/>
    <w:rsid w:val="005E7711"/>
    <w:rsid w:val="005F025B"/>
    <w:rsid w:val="005F1981"/>
    <w:rsid w:val="005F2879"/>
    <w:rsid w:val="005F3E66"/>
    <w:rsid w:val="005F71C1"/>
    <w:rsid w:val="006015F1"/>
    <w:rsid w:val="00601C87"/>
    <w:rsid w:val="006035B9"/>
    <w:rsid w:val="0060668E"/>
    <w:rsid w:val="006125B4"/>
    <w:rsid w:val="00612620"/>
    <w:rsid w:val="0061377E"/>
    <w:rsid w:val="00615973"/>
    <w:rsid w:val="006164EF"/>
    <w:rsid w:val="0061700A"/>
    <w:rsid w:val="00620385"/>
    <w:rsid w:val="0062239B"/>
    <w:rsid w:val="00624AE5"/>
    <w:rsid w:val="00631C78"/>
    <w:rsid w:val="0063218B"/>
    <w:rsid w:val="00634490"/>
    <w:rsid w:val="0063547E"/>
    <w:rsid w:val="00636DF1"/>
    <w:rsid w:val="00640148"/>
    <w:rsid w:val="0064154C"/>
    <w:rsid w:val="00643C35"/>
    <w:rsid w:val="00644D56"/>
    <w:rsid w:val="00645D11"/>
    <w:rsid w:val="00656542"/>
    <w:rsid w:val="006566F3"/>
    <w:rsid w:val="00660485"/>
    <w:rsid w:val="00662093"/>
    <w:rsid w:val="00662FE1"/>
    <w:rsid w:val="00664AC8"/>
    <w:rsid w:val="00665299"/>
    <w:rsid w:val="0066736B"/>
    <w:rsid w:val="006707E3"/>
    <w:rsid w:val="00671073"/>
    <w:rsid w:val="006716F5"/>
    <w:rsid w:val="00672F36"/>
    <w:rsid w:val="006759DA"/>
    <w:rsid w:val="00676283"/>
    <w:rsid w:val="00677027"/>
    <w:rsid w:val="0067709B"/>
    <w:rsid w:val="00680684"/>
    <w:rsid w:val="00680997"/>
    <w:rsid w:val="00680C4B"/>
    <w:rsid w:val="0068198B"/>
    <w:rsid w:val="00681992"/>
    <w:rsid w:val="00681D0A"/>
    <w:rsid w:val="006831A3"/>
    <w:rsid w:val="006837A0"/>
    <w:rsid w:val="00685B28"/>
    <w:rsid w:val="0068645B"/>
    <w:rsid w:val="00686D20"/>
    <w:rsid w:val="00687023"/>
    <w:rsid w:val="00687D77"/>
    <w:rsid w:val="006909F5"/>
    <w:rsid w:val="00691C82"/>
    <w:rsid w:val="00692717"/>
    <w:rsid w:val="0069273E"/>
    <w:rsid w:val="00692D02"/>
    <w:rsid w:val="00692D25"/>
    <w:rsid w:val="00695201"/>
    <w:rsid w:val="006970F8"/>
    <w:rsid w:val="006A2040"/>
    <w:rsid w:val="006A223B"/>
    <w:rsid w:val="006A2BE0"/>
    <w:rsid w:val="006A36F6"/>
    <w:rsid w:val="006A52BE"/>
    <w:rsid w:val="006A5A4C"/>
    <w:rsid w:val="006A6B10"/>
    <w:rsid w:val="006B202C"/>
    <w:rsid w:val="006B22DC"/>
    <w:rsid w:val="006B4874"/>
    <w:rsid w:val="006B4C70"/>
    <w:rsid w:val="006B692D"/>
    <w:rsid w:val="006B7E20"/>
    <w:rsid w:val="006C0C57"/>
    <w:rsid w:val="006C1CBC"/>
    <w:rsid w:val="006C517E"/>
    <w:rsid w:val="006C52F9"/>
    <w:rsid w:val="006D0BFA"/>
    <w:rsid w:val="006D1E62"/>
    <w:rsid w:val="006D315B"/>
    <w:rsid w:val="006D3394"/>
    <w:rsid w:val="006D4422"/>
    <w:rsid w:val="006D59C0"/>
    <w:rsid w:val="006D66B4"/>
    <w:rsid w:val="006D6E32"/>
    <w:rsid w:val="006D7E94"/>
    <w:rsid w:val="006E2A4F"/>
    <w:rsid w:val="006E301B"/>
    <w:rsid w:val="006E6C4F"/>
    <w:rsid w:val="006F0225"/>
    <w:rsid w:val="006F17C2"/>
    <w:rsid w:val="006F1A00"/>
    <w:rsid w:val="006F5CC4"/>
    <w:rsid w:val="006F5EA9"/>
    <w:rsid w:val="006F5FE7"/>
    <w:rsid w:val="0070185C"/>
    <w:rsid w:val="00703A2A"/>
    <w:rsid w:val="007053A6"/>
    <w:rsid w:val="00706329"/>
    <w:rsid w:val="00707970"/>
    <w:rsid w:val="00710DD4"/>
    <w:rsid w:val="00712FF2"/>
    <w:rsid w:val="00713499"/>
    <w:rsid w:val="007158AA"/>
    <w:rsid w:val="007167CE"/>
    <w:rsid w:val="00716DB1"/>
    <w:rsid w:val="00716F3D"/>
    <w:rsid w:val="007177CD"/>
    <w:rsid w:val="0072126D"/>
    <w:rsid w:val="007232FD"/>
    <w:rsid w:val="00724D44"/>
    <w:rsid w:val="0072566E"/>
    <w:rsid w:val="0072659B"/>
    <w:rsid w:val="0072685C"/>
    <w:rsid w:val="007300CC"/>
    <w:rsid w:val="00730938"/>
    <w:rsid w:val="00732975"/>
    <w:rsid w:val="007346B1"/>
    <w:rsid w:val="007374A4"/>
    <w:rsid w:val="007413C0"/>
    <w:rsid w:val="007417EF"/>
    <w:rsid w:val="00741AB7"/>
    <w:rsid w:val="00744591"/>
    <w:rsid w:val="007448FD"/>
    <w:rsid w:val="00744DFC"/>
    <w:rsid w:val="00746BCE"/>
    <w:rsid w:val="00746CAE"/>
    <w:rsid w:val="00747183"/>
    <w:rsid w:val="00750740"/>
    <w:rsid w:val="0075335F"/>
    <w:rsid w:val="00754333"/>
    <w:rsid w:val="007544A6"/>
    <w:rsid w:val="00761E39"/>
    <w:rsid w:val="00765810"/>
    <w:rsid w:val="00765CAD"/>
    <w:rsid w:val="00765DC1"/>
    <w:rsid w:val="00767134"/>
    <w:rsid w:val="00767954"/>
    <w:rsid w:val="00770A3E"/>
    <w:rsid w:val="00771BFB"/>
    <w:rsid w:val="007734F2"/>
    <w:rsid w:val="00776C73"/>
    <w:rsid w:val="00776F3B"/>
    <w:rsid w:val="0078212C"/>
    <w:rsid w:val="00783FAB"/>
    <w:rsid w:val="00784E29"/>
    <w:rsid w:val="00784E3E"/>
    <w:rsid w:val="007862F4"/>
    <w:rsid w:val="00787177"/>
    <w:rsid w:val="00787623"/>
    <w:rsid w:val="007907F5"/>
    <w:rsid w:val="0079190A"/>
    <w:rsid w:val="00791AF4"/>
    <w:rsid w:val="00791AF5"/>
    <w:rsid w:val="007921CC"/>
    <w:rsid w:val="00793B1E"/>
    <w:rsid w:val="00794A55"/>
    <w:rsid w:val="007950AB"/>
    <w:rsid w:val="00796CA8"/>
    <w:rsid w:val="007A1C45"/>
    <w:rsid w:val="007A36FA"/>
    <w:rsid w:val="007A37D2"/>
    <w:rsid w:val="007A3F31"/>
    <w:rsid w:val="007A4621"/>
    <w:rsid w:val="007A482A"/>
    <w:rsid w:val="007A577D"/>
    <w:rsid w:val="007A6637"/>
    <w:rsid w:val="007A772A"/>
    <w:rsid w:val="007A7D78"/>
    <w:rsid w:val="007B0AB6"/>
    <w:rsid w:val="007B1B12"/>
    <w:rsid w:val="007B1BE9"/>
    <w:rsid w:val="007B284E"/>
    <w:rsid w:val="007B2E2E"/>
    <w:rsid w:val="007B35F6"/>
    <w:rsid w:val="007B47BA"/>
    <w:rsid w:val="007B59DE"/>
    <w:rsid w:val="007B5C05"/>
    <w:rsid w:val="007B6783"/>
    <w:rsid w:val="007B685E"/>
    <w:rsid w:val="007B6DF0"/>
    <w:rsid w:val="007C1DBA"/>
    <w:rsid w:val="007C5C8A"/>
    <w:rsid w:val="007D060F"/>
    <w:rsid w:val="007D09DE"/>
    <w:rsid w:val="007D1766"/>
    <w:rsid w:val="007E28E0"/>
    <w:rsid w:val="007E4049"/>
    <w:rsid w:val="007E6844"/>
    <w:rsid w:val="007E7E60"/>
    <w:rsid w:val="007F0210"/>
    <w:rsid w:val="007F0F2B"/>
    <w:rsid w:val="007F1643"/>
    <w:rsid w:val="007F173A"/>
    <w:rsid w:val="007F3424"/>
    <w:rsid w:val="007F4591"/>
    <w:rsid w:val="007F7311"/>
    <w:rsid w:val="0080055B"/>
    <w:rsid w:val="00801400"/>
    <w:rsid w:val="00801C17"/>
    <w:rsid w:val="0080330C"/>
    <w:rsid w:val="00803B59"/>
    <w:rsid w:val="00804EAC"/>
    <w:rsid w:val="0080504E"/>
    <w:rsid w:val="00806571"/>
    <w:rsid w:val="00806713"/>
    <w:rsid w:val="00806C55"/>
    <w:rsid w:val="00806D64"/>
    <w:rsid w:val="00807619"/>
    <w:rsid w:val="0081279C"/>
    <w:rsid w:val="008127FF"/>
    <w:rsid w:val="00813B15"/>
    <w:rsid w:val="00814023"/>
    <w:rsid w:val="00815C19"/>
    <w:rsid w:val="00816F2F"/>
    <w:rsid w:val="00817B73"/>
    <w:rsid w:val="00817C2C"/>
    <w:rsid w:val="00821E01"/>
    <w:rsid w:val="0082391C"/>
    <w:rsid w:val="00827607"/>
    <w:rsid w:val="008301F0"/>
    <w:rsid w:val="008310FE"/>
    <w:rsid w:val="00831C41"/>
    <w:rsid w:val="00833199"/>
    <w:rsid w:val="0083391F"/>
    <w:rsid w:val="00836981"/>
    <w:rsid w:val="00836C93"/>
    <w:rsid w:val="00837660"/>
    <w:rsid w:val="00840F7E"/>
    <w:rsid w:val="00842AEA"/>
    <w:rsid w:val="00845654"/>
    <w:rsid w:val="00846DB6"/>
    <w:rsid w:val="00847EC6"/>
    <w:rsid w:val="00850799"/>
    <w:rsid w:val="00852E14"/>
    <w:rsid w:val="0085360E"/>
    <w:rsid w:val="008546A1"/>
    <w:rsid w:val="00860978"/>
    <w:rsid w:val="008625F7"/>
    <w:rsid w:val="00864AB5"/>
    <w:rsid w:val="008654A4"/>
    <w:rsid w:val="008666CF"/>
    <w:rsid w:val="00870DD8"/>
    <w:rsid w:val="0087100B"/>
    <w:rsid w:val="0087347C"/>
    <w:rsid w:val="00874557"/>
    <w:rsid w:val="0087612D"/>
    <w:rsid w:val="00876E53"/>
    <w:rsid w:val="00877895"/>
    <w:rsid w:val="008823E1"/>
    <w:rsid w:val="008825B9"/>
    <w:rsid w:val="00883DAA"/>
    <w:rsid w:val="008857B3"/>
    <w:rsid w:val="008863B2"/>
    <w:rsid w:val="0089064F"/>
    <w:rsid w:val="008915BF"/>
    <w:rsid w:val="00892491"/>
    <w:rsid w:val="00895125"/>
    <w:rsid w:val="0089512D"/>
    <w:rsid w:val="00895AFC"/>
    <w:rsid w:val="00897287"/>
    <w:rsid w:val="008A1BC6"/>
    <w:rsid w:val="008A29EE"/>
    <w:rsid w:val="008A370A"/>
    <w:rsid w:val="008A59E5"/>
    <w:rsid w:val="008A5D51"/>
    <w:rsid w:val="008A6AE1"/>
    <w:rsid w:val="008A716E"/>
    <w:rsid w:val="008B1FFA"/>
    <w:rsid w:val="008B3287"/>
    <w:rsid w:val="008B35D8"/>
    <w:rsid w:val="008B3632"/>
    <w:rsid w:val="008B3CED"/>
    <w:rsid w:val="008B44D5"/>
    <w:rsid w:val="008B62B6"/>
    <w:rsid w:val="008B647C"/>
    <w:rsid w:val="008B6B8E"/>
    <w:rsid w:val="008B6F08"/>
    <w:rsid w:val="008C00B9"/>
    <w:rsid w:val="008C02CD"/>
    <w:rsid w:val="008C0EEC"/>
    <w:rsid w:val="008C268F"/>
    <w:rsid w:val="008C59B7"/>
    <w:rsid w:val="008C7803"/>
    <w:rsid w:val="008D71BD"/>
    <w:rsid w:val="008E07C1"/>
    <w:rsid w:val="008E0CE0"/>
    <w:rsid w:val="008E16D2"/>
    <w:rsid w:val="008E1CE0"/>
    <w:rsid w:val="008E2C88"/>
    <w:rsid w:val="008E300A"/>
    <w:rsid w:val="008E4D66"/>
    <w:rsid w:val="008E7652"/>
    <w:rsid w:val="008F0A06"/>
    <w:rsid w:val="008F0A40"/>
    <w:rsid w:val="008F1147"/>
    <w:rsid w:val="009021F8"/>
    <w:rsid w:val="00902409"/>
    <w:rsid w:val="009044A6"/>
    <w:rsid w:val="00906D7B"/>
    <w:rsid w:val="00910D81"/>
    <w:rsid w:val="00912D93"/>
    <w:rsid w:val="00913DCE"/>
    <w:rsid w:val="00915519"/>
    <w:rsid w:val="0092436D"/>
    <w:rsid w:val="00924A19"/>
    <w:rsid w:val="009264E6"/>
    <w:rsid w:val="009271AB"/>
    <w:rsid w:val="009276D2"/>
    <w:rsid w:val="00933B48"/>
    <w:rsid w:val="00934212"/>
    <w:rsid w:val="0093473A"/>
    <w:rsid w:val="00936024"/>
    <w:rsid w:val="009401C1"/>
    <w:rsid w:val="009413AF"/>
    <w:rsid w:val="009435CE"/>
    <w:rsid w:val="00944A6E"/>
    <w:rsid w:val="0094542A"/>
    <w:rsid w:val="009477A9"/>
    <w:rsid w:val="00947E2F"/>
    <w:rsid w:val="00951AFD"/>
    <w:rsid w:val="00951FBB"/>
    <w:rsid w:val="0095549D"/>
    <w:rsid w:val="00957536"/>
    <w:rsid w:val="00957672"/>
    <w:rsid w:val="0095778C"/>
    <w:rsid w:val="009603CA"/>
    <w:rsid w:val="009608D1"/>
    <w:rsid w:val="00961A3B"/>
    <w:rsid w:val="0096273B"/>
    <w:rsid w:val="00963001"/>
    <w:rsid w:val="009657D4"/>
    <w:rsid w:val="0096590F"/>
    <w:rsid w:val="009666F0"/>
    <w:rsid w:val="00966750"/>
    <w:rsid w:val="00967D19"/>
    <w:rsid w:val="00971CBA"/>
    <w:rsid w:val="009742F5"/>
    <w:rsid w:val="009756D8"/>
    <w:rsid w:val="00976DA4"/>
    <w:rsid w:val="00977C0C"/>
    <w:rsid w:val="00977F87"/>
    <w:rsid w:val="009829AF"/>
    <w:rsid w:val="0098396C"/>
    <w:rsid w:val="00985541"/>
    <w:rsid w:val="00990D94"/>
    <w:rsid w:val="009935D2"/>
    <w:rsid w:val="00995AE1"/>
    <w:rsid w:val="00995BE8"/>
    <w:rsid w:val="00995CF8"/>
    <w:rsid w:val="00997E84"/>
    <w:rsid w:val="009A2CFB"/>
    <w:rsid w:val="009A438E"/>
    <w:rsid w:val="009A4F12"/>
    <w:rsid w:val="009A779F"/>
    <w:rsid w:val="009B3149"/>
    <w:rsid w:val="009B315E"/>
    <w:rsid w:val="009B5B31"/>
    <w:rsid w:val="009B605D"/>
    <w:rsid w:val="009B7B5B"/>
    <w:rsid w:val="009C0B27"/>
    <w:rsid w:val="009C216E"/>
    <w:rsid w:val="009C244B"/>
    <w:rsid w:val="009C2FC7"/>
    <w:rsid w:val="009C77E0"/>
    <w:rsid w:val="009C7EEC"/>
    <w:rsid w:val="009D094A"/>
    <w:rsid w:val="009D1B9D"/>
    <w:rsid w:val="009D34A6"/>
    <w:rsid w:val="009D6D17"/>
    <w:rsid w:val="009D6F5D"/>
    <w:rsid w:val="009E2576"/>
    <w:rsid w:val="009E4268"/>
    <w:rsid w:val="009F017B"/>
    <w:rsid w:val="009F20AD"/>
    <w:rsid w:val="009F6578"/>
    <w:rsid w:val="009F6EFA"/>
    <w:rsid w:val="00A01B7A"/>
    <w:rsid w:val="00A02F03"/>
    <w:rsid w:val="00A03E31"/>
    <w:rsid w:val="00A04FD7"/>
    <w:rsid w:val="00A0602D"/>
    <w:rsid w:val="00A11091"/>
    <w:rsid w:val="00A111C0"/>
    <w:rsid w:val="00A1227F"/>
    <w:rsid w:val="00A12631"/>
    <w:rsid w:val="00A1272C"/>
    <w:rsid w:val="00A1324E"/>
    <w:rsid w:val="00A139DF"/>
    <w:rsid w:val="00A13C22"/>
    <w:rsid w:val="00A14981"/>
    <w:rsid w:val="00A17587"/>
    <w:rsid w:val="00A201A7"/>
    <w:rsid w:val="00A2048B"/>
    <w:rsid w:val="00A212B3"/>
    <w:rsid w:val="00A23057"/>
    <w:rsid w:val="00A24193"/>
    <w:rsid w:val="00A24BA8"/>
    <w:rsid w:val="00A24E8E"/>
    <w:rsid w:val="00A26731"/>
    <w:rsid w:val="00A26D46"/>
    <w:rsid w:val="00A26F72"/>
    <w:rsid w:val="00A30BEE"/>
    <w:rsid w:val="00A31179"/>
    <w:rsid w:val="00A3184B"/>
    <w:rsid w:val="00A325FA"/>
    <w:rsid w:val="00A326A6"/>
    <w:rsid w:val="00A35DFD"/>
    <w:rsid w:val="00A37A1A"/>
    <w:rsid w:val="00A40898"/>
    <w:rsid w:val="00A4467B"/>
    <w:rsid w:val="00A44CDB"/>
    <w:rsid w:val="00A45405"/>
    <w:rsid w:val="00A522E8"/>
    <w:rsid w:val="00A52B09"/>
    <w:rsid w:val="00A52F0C"/>
    <w:rsid w:val="00A533D8"/>
    <w:rsid w:val="00A54345"/>
    <w:rsid w:val="00A545E8"/>
    <w:rsid w:val="00A6028C"/>
    <w:rsid w:val="00A60870"/>
    <w:rsid w:val="00A60F13"/>
    <w:rsid w:val="00A63922"/>
    <w:rsid w:val="00A641B9"/>
    <w:rsid w:val="00A659CE"/>
    <w:rsid w:val="00A65BE2"/>
    <w:rsid w:val="00A66FDB"/>
    <w:rsid w:val="00A67AA1"/>
    <w:rsid w:val="00A72B4C"/>
    <w:rsid w:val="00A73245"/>
    <w:rsid w:val="00A733BA"/>
    <w:rsid w:val="00A73A8B"/>
    <w:rsid w:val="00A76FFE"/>
    <w:rsid w:val="00A770B5"/>
    <w:rsid w:val="00A773FB"/>
    <w:rsid w:val="00A80A46"/>
    <w:rsid w:val="00A873F1"/>
    <w:rsid w:val="00A87E70"/>
    <w:rsid w:val="00A91E03"/>
    <w:rsid w:val="00A940E6"/>
    <w:rsid w:val="00A9583E"/>
    <w:rsid w:val="00A9609A"/>
    <w:rsid w:val="00A96264"/>
    <w:rsid w:val="00A967A2"/>
    <w:rsid w:val="00AA34BF"/>
    <w:rsid w:val="00AA497C"/>
    <w:rsid w:val="00AA5DB3"/>
    <w:rsid w:val="00AA673D"/>
    <w:rsid w:val="00AA78E1"/>
    <w:rsid w:val="00AB2668"/>
    <w:rsid w:val="00AB2673"/>
    <w:rsid w:val="00AB2ACF"/>
    <w:rsid w:val="00AB6FE4"/>
    <w:rsid w:val="00AD1899"/>
    <w:rsid w:val="00AD1E87"/>
    <w:rsid w:val="00AD264A"/>
    <w:rsid w:val="00AD3D2F"/>
    <w:rsid w:val="00AD7FE5"/>
    <w:rsid w:val="00AE132D"/>
    <w:rsid w:val="00AE288B"/>
    <w:rsid w:val="00AE302D"/>
    <w:rsid w:val="00AE3F7D"/>
    <w:rsid w:val="00AE4CC1"/>
    <w:rsid w:val="00AE7C02"/>
    <w:rsid w:val="00AF22BE"/>
    <w:rsid w:val="00AF2334"/>
    <w:rsid w:val="00AF3412"/>
    <w:rsid w:val="00AF3A3C"/>
    <w:rsid w:val="00AF3D7C"/>
    <w:rsid w:val="00AF46C5"/>
    <w:rsid w:val="00AF484B"/>
    <w:rsid w:val="00AF54AF"/>
    <w:rsid w:val="00AF5C39"/>
    <w:rsid w:val="00AF669D"/>
    <w:rsid w:val="00AF6CD2"/>
    <w:rsid w:val="00AF7AD0"/>
    <w:rsid w:val="00B00B35"/>
    <w:rsid w:val="00B014A4"/>
    <w:rsid w:val="00B0516C"/>
    <w:rsid w:val="00B052EF"/>
    <w:rsid w:val="00B12393"/>
    <w:rsid w:val="00B126C4"/>
    <w:rsid w:val="00B1543D"/>
    <w:rsid w:val="00B209BB"/>
    <w:rsid w:val="00B22217"/>
    <w:rsid w:val="00B2281D"/>
    <w:rsid w:val="00B22BFB"/>
    <w:rsid w:val="00B24A80"/>
    <w:rsid w:val="00B25134"/>
    <w:rsid w:val="00B27DEC"/>
    <w:rsid w:val="00B30A83"/>
    <w:rsid w:val="00B31577"/>
    <w:rsid w:val="00B33930"/>
    <w:rsid w:val="00B3426E"/>
    <w:rsid w:val="00B411FF"/>
    <w:rsid w:val="00B41880"/>
    <w:rsid w:val="00B42B4A"/>
    <w:rsid w:val="00B4360D"/>
    <w:rsid w:val="00B4500D"/>
    <w:rsid w:val="00B46350"/>
    <w:rsid w:val="00B46A24"/>
    <w:rsid w:val="00B46A8F"/>
    <w:rsid w:val="00B479F8"/>
    <w:rsid w:val="00B51EFA"/>
    <w:rsid w:val="00B52441"/>
    <w:rsid w:val="00B531B7"/>
    <w:rsid w:val="00B54A00"/>
    <w:rsid w:val="00B57573"/>
    <w:rsid w:val="00B6072F"/>
    <w:rsid w:val="00B609CA"/>
    <w:rsid w:val="00B60D99"/>
    <w:rsid w:val="00B61FB3"/>
    <w:rsid w:val="00B63FED"/>
    <w:rsid w:val="00B675C5"/>
    <w:rsid w:val="00B67DF8"/>
    <w:rsid w:val="00B71723"/>
    <w:rsid w:val="00B75017"/>
    <w:rsid w:val="00B76D13"/>
    <w:rsid w:val="00B8005B"/>
    <w:rsid w:val="00B8218C"/>
    <w:rsid w:val="00B835F6"/>
    <w:rsid w:val="00B871DC"/>
    <w:rsid w:val="00B9081D"/>
    <w:rsid w:val="00B9155A"/>
    <w:rsid w:val="00B91996"/>
    <w:rsid w:val="00B93913"/>
    <w:rsid w:val="00B942AC"/>
    <w:rsid w:val="00B9498D"/>
    <w:rsid w:val="00B94A71"/>
    <w:rsid w:val="00B95558"/>
    <w:rsid w:val="00BA0136"/>
    <w:rsid w:val="00BA1F92"/>
    <w:rsid w:val="00BA34AE"/>
    <w:rsid w:val="00BA44BE"/>
    <w:rsid w:val="00BA6F3D"/>
    <w:rsid w:val="00BA748D"/>
    <w:rsid w:val="00BA7514"/>
    <w:rsid w:val="00BB01F1"/>
    <w:rsid w:val="00BB1326"/>
    <w:rsid w:val="00BB2886"/>
    <w:rsid w:val="00BB3B96"/>
    <w:rsid w:val="00BC0246"/>
    <w:rsid w:val="00BC0252"/>
    <w:rsid w:val="00BC0413"/>
    <w:rsid w:val="00BC14A1"/>
    <w:rsid w:val="00BC42DD"/>
    <w:rsid w:val="00BC4F05"/>
    <w:rsid w:val="00BC50E5"/>
    <w:rsid w:val="00BC68A5"/>
    <w:rsid w:val="00BC76A4"/>
    <w:rsid w:val="00BD09DD"/>
    <w:rsid w:val="00BD2E6A"/>
    <w:rsid w:val="00BD437E"/>
    <w:rsid w:val="00BE3CAF"/>
    <w:rsid w:val="00BE4470"/>
    <w:rsid w:val="00BE4A94"/>
    <w:rsid w:val="00BF0EA2"/>
    <w:rsid w:val="00C00DF0"/>
    <w:rsid w:val="00C015F7"/>
    <w:rsid w:val="00C035FC"/>
    <w:rsid w:val="00C043DF"/>
    <w:rsid w:val="00C04D53"/>
    <w:rsid w:val="00C072F3"/>
    <w:rsid w:val="00C1066C"/>
    <w:rsid w:val="00C13AC3"/>
    <w:rsid w:val="00C15389"/>
    <w:rsid w:val="00C1606E"/>
    <w:rsid w:val="00C16A91"/>
    <w:rsid w:val="00C205A5"/>
    <w:rsid w:val="00C2166C"/>
    <w:rsid w:val="00C216ED"/>
    <w:rsid w:val="00C21787"/>
    <w:rsid w:val="00C217D6"/>
    <w:rsid w:val="00C234D6"/>
    <w:rsid w:val="00C23E4F"/>
    <w:rsid w:val="00C24EDC"/>
    <w:rsid w:val="00C25794"/>
    <w:rsid w:val="00C27751"/>
    <w:rsid w:val="00C33F41"/>
    <w:rsid w:val="00C35F16"/>
    <w:rsid w:val="00C40864"/>
    <w:rsid w:val="00C41F33"/>
    <w:rsid w:val="00C44367"/>
    <w:rsid w:val="00C4503C"/>
    <w:rsid w:val="00C506F6"/>
    <w:rsid w:val="00C5221A"/>
    <w:rsid w:val="00C52CD5"/>
    <w:rsid w:val="00C53031"/>
    <w:rsid w:val="00C540D2"/>
    <w:rsid w:val="00C55E68"/>
    <w:rsid w:val="00C62834"/>
    <w:rsid w:val="00C62E16"/>
    <w:rsid w:val="00C651DF"/>
    <w:rsid w:val="00C67C38"/>
    <w:rsid w:val="00C67E5E"/>
    <w:rsid w:val="00C70DA3"/>
    <w:rsid w:val="00C711AB"/>
    <w:rsid w:val="00C73827"/>
    <w:rsid w:val="00C74A36"/>
    <w:rsid w:val="00C75A39"/>
    <w:rsid w:val="00C7782D"/>
    <w:rsid w:val="00C80E3A"/>
    <w:rsid w:val="00C80E62"/>
    <w:rsid w:val="00C8138B"/>
    <w:rsid w:val="00C81F3C"/>
    <w:rsid w:val="00C8446D"/>
    <w:rsid w:val="00C84994"/>
    <w:rsid w:val="00C87449"/>
    <w:rsid w:val="00C91B5F"/>
    <w:rsid w:val="00C925B3"/>
    <w:rsid w:val="00C92CC3"/>
    <w:rsid w:val="00C936EE"/>
    <w:rsid w:val="00C945B6"/>
    <w:rsid w:val="00C9539F"/>
    <w:rsid w:val="00C956C0"/>
    <w:rsid w:val="00C95BFF"/>
    <w:rsid w:val="00C96739"/>
    <w:rsid w:val="00C96CAF"/>
    <w:rsid w:val="00CA1553"/>
    <w:rsid w:val="00CA1DE7"/>
    <w:rsid w:val="00CA2F2B"/>
    <w:rsid w:val="00CA2F86"/>
    <w:rsid w:val="00CA3507"/>
    <w:rsid w:val="00CA433C"/>
    <w:rsid w:val="00CA53A7"/>
    <w:rsid w:val="00CB06E2"/>
    <w:rsid w:val="00CB13CB"/>
    <w:rsid w:val="00CB2C0A"/>
    <w:rsid w:val="00CB6F65"/>
    <w:rsid w:val="00CB6FF8"/>
    <w:rsid w:val="00CC22F5"/>
    <w:rsid w:val="00CC33BE"/>
    <w:rsid w:val="00CC4C75"/>
    <w:rsid w:val="00CC6FD0"/>
    <w:rsid w:val="00CD08E0"/>
    <w:rsid w:val="00CD19FD"/>
    <w:rsid w:val="00CD2DAE"/>
    <w:rsid w:val="00CD3737"/>
    <w:rsid w:val="00CD3BEC"/>
    <w:rsid w:val="00CD4525"/>
    <w:rsid w:val="00CD4893"/>
    <w:rsid w:val="00CD4949"/>
    <w:rsid w:val="00CD6D89"/>
    <w:rsid w:val="00CE1703"/>
    <w:rsid w:val="00CE1A0F"/>
    <w:rsid w:val="00CE2C57"/>
    <w:rsid w:val="00CE2D9C"/>
    <w:rsid w:val="00CE39E7"/>
    <w:rsid w:val="00CE4D49"/>
    <w:rsid w:val="00CE7494"/>
    <w:rsid w:val="00CE74B7"/>
    <w:rsid w:val="00CF086A"/>
    <w:rsid w:val="00CF08BE"/>
    <w:rsid w:val="00CF16A3"/>
    <w:rsid w:val="00CF3F16"/>
    <w:rsid w:val="00CF418A"/>
    <w:rsid w:val="00D00A53"/>
    <w:rsid w:val="00D00E8A"/>
    <w:rsid w:val="00D01392"/>
    <w:rsid w:val="00D0679A"/>
    <w:rsid w:val="00D0684D"/>
    <w:rsid w:val="00D126E3"/>
    <w:rsid w:val="00D1455D"/>
    <w:rsid w:val="00D15605"/>
    <w:rsid w:val="00D16EB6"/>
    <w:rsid w:val="00D1711A"/>
    <w:rsid w:val="00D20AB6"/>
    <w:rsid w:val="00D2289A"/>
    <w:rsid w:val="00D22E32"/>
    <w:rsid w:val="00D23142"/>
    <w:rsid w:val="00D2550E"/>
    <w:rsid w:val="00D25BB7"/>
    <w:rsid w:val="00D26D7A"/>
    <w:rsid w:val="00D2776D"/>
    <w:rsid w:val="00D3132D"/>
    <w:rsid w:val="00D316B5"/>
    <w:rsid w:val="00D33035"/>
    <w:rsid w:val="00D3774A"/>
    <w:rsid w:val="00D408B7"/>
    <w:rsid w:val="00D4108F"/>
    <w:rsid w:val="00D41968"/>
    <w:rsid w:val="00D41A77"/>
    <w:rsid w:val="00D432E8"/>
    <w:rsid w:val="00D47C73"/>
    <w:rsid w:val="00D50F9C"/>
    <w:rsid w:val="00D51458"/>
    <w:rsid w:val="00D540D4"/>
    <w:rsid w:val="00D5796B"/>
    <w:rsid w:val="00D60015"/>
    <w:rsid w:val="00D60D46"/>
    <w:rsid w:val="00D60ECA"/>
    <w:rsid w:val="00D64810"/>
    <w:rsid w:val="00D65CCD"/>
    <w:rsid w:val="00D65EC1"/>
    <w:rsid w:val="00D666F0"/>
    <w:rsid w:val="00D702C4"/>
    <w:rsid w:val="00D70F9D"/>
    <w:rsid w:val="00D71C24"/>
    <w:rsid w:val="00D74B81"/>
    <w:rsid w:val="00D7546A"/>
    <w:rsid w:val="00D75889"/>
    <w:rsid w:val="00D75A76"/>
    <w:rsid w:val="00D75BDA"/>
    <w:rsid w:val="00D76BB3"/>
    <w:rsid w:val="00D801CE"/>
    <w:rsid w:val="00D811D3"/>
    <w:rsid w:val="00D82B54"/>
    <w:rsid w:val="00D84755"/>
    <w:rsid w:val="00D87D57"/>
    <w:rsid w:val="00D905C1"/>
    <w:rsid w:val="00D91A51"/>
    <w:rsid w:val="00D92630"/>
    <w:rsid w:val="00D92B1C"/>
    <w:rsid w:val="00D97361"/>
    <w:rsid w:val="00D97CF3"/>
    <w:rsid w:val="00D97E18"/>
    <w:rsid w:val="00DA0168"/>
    <w:rsid w:val="00DA2F67"/>
    <w:rsid w:val="00DA7DDB"/>
    <w:rsid w:val="00DB61D8"/>
    <w:rsid w:val="00DC0488"/>
    <w:rsid w:val="00DC08F8"/>
    <w:rsid w:val="00DC1B99"/>
    <w:rsid w:val="00DC29E3"/>
    <w:rsid w:val="00DC3869"/>
    <w:rsid w:val="00DC39F6"/>
    <w:rsid w:val="00DC4EF4"/>
    <w:rsid w:val="00DC5B0C"/>
    <w:rsid w:val="00DC5D97"/>
    <w:rsid w:val="00DC5F65"/>
    <w:rsid w:val="00DC69CD"/>
    <w:rsid w:val="00DD0D76"/>
    <w:rsid w:val="00DD128C"/>
    <w:rsid w:val="00DD2255"/>
    <w:rsid w:val="00DD30D5"/>
    <w:rsid w:val="00DD4598"/>
    <w:rsid w:val="00DD51EF"/>
    <w:rsid w:val="00DE061C"/>
    <w:rsid w:val="00DE1462"/>
    <w:rsid w:val="00DE2030"/>
    <w:rsid w:val="00DE2E89"/>
    <w:rsid w:val="00DE64BE"/>
    <w:rsid w:val="00DE687D"/>
    <w:rsid w:val="00DF0739"/>
    <w:rsid w:val="00DF1630"/>
    <w:rsid w:val="00DF1D0E"/>
    <w:rsid w:val="00DF30EE"/>
    <w:rsid w:val="00DF5341"/>
    <w:rsid w:val="00DF5912"/>
    <w:rsid w:val="00DF59F5"/>
    <w:rsid w:val="00DF65D1"/>
    <w:rsid w:val="00DF6619"/>
    <w:rsid w:val="00DF76B2"/>
    <w:rsid w:val="00E0203A"/>
    <w:rsid w:val="00E02B60"/>
    <w:rsid w:val="00E05963"/>
    <w:rsid w:val="00E05C0C"/>
    <w:rsid w:val="00E104D0"/>
    <w:rsid w:val="00E106F3"/>
    <w:rsid w:val="00E10C83"/>
    <w:rsid w:val="00E12855"/>
    <w:rsid w:val="00E12CFF"/>
    <w:rsid w:val="00E14310"/>
    <w:rsid w:val="00E16814"/>
    <w:rsid w:val="00E1753C"/>
    <w:rsid w:val="00E17A12"/>
    <w:rsid w:val="00E17E07"/>
    <w:rsid w:val="00E20A34"/>
    <w:rsid w:val="00E21314"/>
    <w:rsid w:val="00E216AB"/>
    <w:rsid w:val="00E22DFD"/>
    <w:rsid w:val="00E25FE2"/>
    <w:rsid w:val="00E30F33"/>
    <w:rsid w:val="00E319F0"/>
    <w:rsid w:val="00E3487C"/>
    <w:rsid w:val="00E348E3"/>
    <w:rsid w:val="00E354DC"/>
    <w:rsid w:val="00E3700A"/>
    <w:rsid w:val="00E40F46"/>
    <w:rsid w:val="00E451D2"/>
    <w:rsid w:val="00E45BEC"/>
    <w:rsid w:val="00E45D45"/>
    <w:rsid w:val="00E45D5A"/>
    <w:rsid w:val="00E47C2A"/>
    <w:rsid w:val="00E51C2A"/>
    <w:rsid w:val="00E54861"/>
    <w:rsid w:val="00E56223"/>
    <w:rsid w:val="00E56C45"/>
    <w:rsid w:val="00E6118D"/>
    <w:rsid w:val="00E61E76"/>
    <w:rsid w:val="00E62E44"/>
    <w:rsid w:val="00E64897"/>
    <w:rsid w:val="00E64A0E"/>
    <w:rsid w:val="00E64B4B"/>
    <w:rsid w:val="00E66961"/>
    <w:rsid w:val="00E669A3"/>
    <w:rsid w:val="00E6700A"/>
    <w:rsid w:val="00E700F5"/>
    <w:rsid w:val="00E70F1C"/>
    <w:rsid w:val="00E7156A"/>
    <w:rsid w:val="00E715F0"/>
    <w:rsid w:val="00E73308"/>
    <w:rsid w:val="00E7439B"/>
    <w:rsid w:val="00E74A9F"/>
    <w:rsid w:val="00E74BD1"/>
    <w:rsid w:val="00E75268"/>
    <w:rsid w:val="00E76748"/>
    <w:rsid w:val="00E77271"/>
    <w:rsid w:val="00E774AB"/>
    <w:rsid w:val="00E77D29"/>
    <w:rsid w:val="00E80126"/>
    <w:rsid w:val="00E80393"/>
    <w:rsid w:val="00E80E8D"/>
    <w:rsid w:val="00E8146A"/>
    <w:rsid w:val="00E82F7B"/>
    <w:rsid w:val="00E83259"/>
    <w:rsid w:val="00E83780"/>
    <w:rsid w:val="00E83D6A"/>
    <w:rsid w:val="00E84F4D"/>
    <w:rsid w:val="00E919DF"/>
    <w:rsid w:val="00E91F5C"/>
    <w:rsid w:val="00E9253D"/>
    <w:rsid w:val="00E928A3"/>
    <w:rsid w:val="00E93065"/>
    <w:rsid w:val="00E9399B"/>
    <w:rsid w:val="00E95871"/>
    <w:rsid w:val="00E97131"/>
    <w:rsid w:val="00EA2F7E"/>
    <w:rsid w:val="00EB030E"/>
    <w:rsid w:val="00EB2C37"/>
    <w:rsid w:val="00EB4724"/>
    <w:rsid w:val="00EC0FAD"/>
    <w:rsid w:val="00EC2F0C"/>
    <w:rsid w:val="00EC4986"/>
    <w:rsid w:val="00EC53AB"/>
    <w:rsid w:val="00EC5AC0"/>
    <w:rsid w:val="00EC5FA7"/>
    <w:rsid w:val="00EC7B03"/>
    <w:rsid w:val="00ED04EE"/>
    <w:rsid w:val="00ED0F47"/>
    <w:rsid w:val="00ED1070"/>
    <w:rsid w:val="00ED31C7"/>
    <w:rsid w:val="00ED398D"/>
    <w:rsid w:val="00ED4D7A"/>
    <w:rsid w:val="00ED5C53"/>
    <w:rsid w:val="00ED7967"/>
    <w:rsid w:val="00EE0B42"/>
    <w:rsid w:val="00EE0DE1"/>
    <w:rsid w:val="00EE3B4A"/>
    <w:rsid w:val="00EE4A98"/>
    <w:rsid w:val="00EE56EC"/>
    <w:rsid w:val="00EE5908"/>
    <w:rsid w:val="00EE63A8"/>
    <w:rsid w:val="00EE6FCC"/>
    <w:rsid w:val="00EE7B89"/>
    <w:rsid w:val="00EF11D5"/>
    <w:rsid w:val="00EF1400"/>
    <w:rsid w:val="00EF2AC3"/>
    <w:rsid w:val="00EF3548"/>
    <w:rsid w:val="00EF36E2"/>
    <w:rsid w:val="00EF4589"/>
    <w:rsid w:val="00EF583F"/>
    <w:rsid w:val="00F01B93"/>
    <w:rsid w:val="00F02934"/>
    <w:rsid w:val="00F0538B"/>
    <w:rsid w:val="00F06676"/>
    <w:rsid w:val="00F07151"/>
    <w:rsid w:val="00F07484"/>
    <w:rsid w:val="00F07618"/>
    <w:rsid w:val="00F078BB"/>
    <w:rsid w:val="00F07BE9"/>
    <w:rsid w:val="00F07E2F"/>
    <w:rsid w:val="00F10207"/>
    <w:rsid w:val="00F10ACA"/>
    <w:rsid w:val="00F11E5C"/>
    <w:rsid w:val="00F13F6E"/>
    <w:rsid w:val="00F15849"/>
    <w:rsid w:val="00F15946"/>
    <w:rsid w:val="00F17B12"/>
    <w:rsid w:val="00F20030"/>
    <w:rsid w:val="00F2089C"/>
    <w:rsid w:val="00F22D0C"/>
    <w:rsid w:val="00F22F1F"/>
    <w:rsid w:val="00F23008"/>
    <w:rsid w:val="00F23FF4"/>
    <w:rsid w:val="00F25206"/>
    <w:rsid w:val="00F25E61"/>
    <w:rsid w:val="00F2600B"/>
    <w:rsid w:val="00F2783D"/>
    <w:rsid w:val="00F30B7A"/>
    <w:rsid w:val="00F31162"/>
    <w:rsid w:val="00F31882"/>
    <w:rsid w:val="00F32C00"/>
    <w:rsid w:val="00F37EE4"/>
    <w:rsid w:val="00F4034B"/>
    <w:rsid w:val="00F4260B"/>
    <w:rsid w:val="00F42E95"/>
    <w:rsid w:val="00F42FFA"/>
    <w:rsid w:val="00F441CC"/>
    <w:rsid w:val="00F45057"/>
    <w:rsid w:val="00F51A55"/>
    <w:rsid w:val="00F527DA"/>
    <w:rsid w:val="00F5302B"/>
    <w:rsid w:val="00F536C3"/>
    <w:rsid w:val="00F55716"/>
    <w:rsid w:val="00F559DC"/>
    <w:rsid w:val="00F56C21"/>
    <w:rsid w:val="00F64014"/>
    <w:rsid w:val="00F64F5A"/>
    <w:rsid w:val="00F70EEE"/>
    <w:rsid w:val="00F7262B"/>
    <w:rsid w:val="00F727EB"/>
    <w:rsid w:val="00F76037"/>
    <w:rsid w:val="00F82133"/>
    <w:rsid w:val="00F83BC1"/>
    <w:rsid w:val="00F8539C"/>
    <w:rsid w:val="00F86925"/>
    <w:rsid w:val="00F93066"/>
    <w:rsid w:val="00F9424B"/>
    <w:rsid w:val="00F955CF"/>
    <w:rsid w:val="00F9655A"/>
    <w:rsid w:val="00FA3422"/>
    <w:rsid w:val="00FA3D52"/>
    <w:rsid w:val="00FA444A"/>
    <w:rsid w:val="00FA4583"/>
    <w:rsid w:val="00FA6302"/>
    <w:rsid w:val="00FA675E"/>
    <w:rsid w:val="00FA6CCA"/>
    <w:rsid w:val="00FA71AC"/>
    <w:rsid w:val="00FA7705"/>
    <w:rsid w:val="00FB0474"/>
    <w:rsid w:val="00FB08A5"/>
    <w:rsid w:val="00FB110C"/>
    <w:rsid w:val="00FB2234"/>
    <w:rsid w:val="00FB4199"/>
    <w:rsid w:val="00FC07C7"/>
    <w:rsid w:val="00FC0869"/>
    <w:rsid w:val="00FC15BA"/>
    <w:rsid w:val="00FC183B"/>
    <w:rsid w:val="00FC1B32"/>
    <w:rsid w:val="00FC2502"/>
    <w:rsid w:val="00FC5856"/>
    <w:rsid w:val="00FD065A"/>
    <w:rsid w:val="00FD0CB7"/>
    <w:rsid w:val="00FD38E1"/>
    <w:rsid w:val="00FD418A"/>
    <w:rsid w:val="00FD468B"/>
    <w:rsid w:val="00FD5175"/>
    <w:rsid w:val="00FD63ED"/>
    <w:rsid w:val="00FE1526"/>
    <w:rsid w:val="00FE4722"/>
    <w:rsid w:val="00FE4DEA"/>
    <w:rsid w:val="00FE5B12"/>
    <w:rsid w:val="00FE5C89"/>
    <w:rsid w:val="00FE70F9"/>
    <w:rsid w:val="00FE76A9"/>
    <w:rsid w:val="00FF1563"/>
    <w:rsid w:val="00FF22A2"/>
    <w:rsid w:val="00FF4FDF"/>
    <w:rsid w:val="00FF5F0C"/>
    <w:rsid w:val="00FF7C53"/>
    <w:rsid w:val="00FF7C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682CD1"/>
  <w15:docId w15:val="{16E9F0A6-8774-443F-8CAA-3F203F67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7F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7F87"/>
  </w:style>
  <w:style w:type="paragraph" w:styleId="Piedepgina">
    <w:name w:val="footer"/>
    <w:basedOn w:val="Normal"/>
    <w:link w:val="PiedepginaCar"/>
    <w:uiPriority w:val="99"/>
    <w:unhideWhenUsed/>
    <w:rsid w:val="00977F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7F87"/>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 Car Car,ft"/>
    <w:basedOn w:val="Normal"/>
    <w:link w:val="TextonotapieCar"/>
    <w:uiPriority w:val="99"/>
    <w:unhideWhenUsed/>
    <w:qFormat/>
    <w:rsid w:val="00E106F3"/>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qFormat/>
    <w:rsid w:val="00E106F3"/>
    <w:rPr>
      <w:sz w:val="20"/>
      <w:szCs w:val="20"/>
    </w:rPr>
  </w:style>
  <w:style w:type="character" w:styleId="Refdenotaalpie">
    <w:name w:val="footnote reference"/>
    <w:aliases w:val="Ref. de nota al pie 2,Pie de Página,FC,Texto de nota al pie,referencia nota al pie,Nota de pie,Texto nota al pie,Appel note de bas de page,Footnotes refss,Footnote number,BVI fnr,f,Texto de nota al pi,4_G,16 Point,Superscript 6 Point"/>
    <w:basedOn w:val="Fuentedeprrafopredeter"/>
    <w:link w:val="Appelnotedebasde"/>
    <w:uiPriority w:val="99"/>
    <w:unhideWhenUsed/>
    <w:qFormat/>
    <w:rsid w:val="00E106F3"/>
    <w:rPr>
      <w:vertAlign w:val="superscript"/>
    </w:rPr>
  </w:style>
  <w:style w:type="paragraph" w:styleId="Prrafodelista">
    <w:name w:val="List Paragraph"/>
    <w:basedOn w:val="Normal"/>
    <w:link w:val="PrrafodelistaCar"/>
    <w:uiPriority w:val="34"/>
    <w:qFormat/>
    <w:rsid w:val="00CB6FF8"/>
    <w:pPr>
      <w:ind w:left="720"/>
      <w:contextualSpacing/>
    </w:pPr>
  </w:style>
  <w:style w:type="character" w:styleId="Hipervnculo">
    <w:name w:val="Hyperlink"/>
    <w:basedOn w:val="Fuentedeprrafopredeter"/>
    <w:uiPriority w:val="99"/>
    <w:unhideWhenUsed/>
    <w:rsid w:val="00710DD4"/>
    <w:rPr>
      <w:color w:val="0563C1" w:themeColor="hyperlink"/>
      <w:u w:val="single"/>
    </w:rPr>
  </w:style>
  <w:style w:type="character" w:styleId="Refdecomentario">
    <w:name w:val="annotation reference"/>
    <w:uiPriority w:val="99"/>
    <w:semiHidden/>
    <w:unhideWhenUsed/>
    <w:rPr>
      <w:sz w:val="16"/>
      <w:szCs w:val="16"/>
    </w:rPr>
  </w:style>
  <w:style w:type="paragraph" w:styleId="Textodeglobo">
    <w:name w:val="Balloon Text"/>
    <w:basedOn w:val="Normal"/>
    <w:link w:val="TextodegloboCar"/>
    <w:uiPriority w:val="99"/>
    <w:semiHidden/>
    <w:unhideWhenUsed/>
    <w:rsid w:val="003603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03CA"/>
    <w:rPr>
      <w:rFonts w:ascii="Segoe UI" w:hAnsi="Segoe UI" w:cs="Segoe UI"/>
      <w:sz w:val="18"/>
      <w:szCs w:val="18"/>
    </w:rPr>
  </w:style>
  <w:style w:type="paragraph" w:styleId="Textocomentario">
    <w:name w:val="annotation text"/>
    <w:basedOn w:val="Normal"/>
    <w:link w:val="TextocomentarioCar1"/>
    <w:uiPriority w:val="99"/>
    <w:semiHidden/>
    <w:unhideWhenUsed/>
    <w:pPr>
      <w:spacing w:line="240" w:lineRule="auto"/>
    </w:pPr>
    <w:rPr>
      <w:sz w:val="20"/>
      <w:szCs w:val="20"/>
    </w:rPr>
  </w:style>
  <w:style w:type="character" w:customStyle="1" w:styleId="TextocomentarioCar">
    <w:name w:val="Texto comentario Car"/>
    <w:basedOn w:val="Fuentedeprrafopredeter"/>
    <w:uiPriority w:val="99"/>
    <w:semiHidden/>
    <w:rPr>
      <w:sz w:val="20"/>
      <w:szCs w:val="20"/>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AF669D"/>
    <w:rPr>
      <w:b/>
      <w:bCs/>
      <w:sz w:val="20"/>
      <w:szCs w:val="20"/>
    </w:rPr>
  </w:style>
  <w:style w:type="paragraph" w:styleId="NormalWeb">
    <w:name w:val="Normal (Web)"/>
    <w:basedOn w:val="Normal"/>
    <w:uiPriority w:val="99"/>
    <w:unhideWhenUsed/>
    <w:rsid w:val="00F6401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encinsinresolver1">
    <w:name w:val="Mención sin resolver1"/>
    <w:basedOn w:val="Fuentedeprrafopredeter"/>
    <w:uiPriority w:val="99"/>
    <w:semiHidden/>
    <w:unhideWhenUsed/>
    <w:rsid w:val="00EE5908"/>
    <w:rPr>
      <w:color w:val="605E5C"/>
      <w:shd w:val="clear" w:color="auto" w:fill="E1DFDD"/>
    </w:r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semiHidden/>
    <w:rPr>
      <w:sz w:val="20"/>
      <w:szCs w:val="20"/>
    </w:rPr>
  </w:style>
  <w:style w:type="character" w:customStyle="1" w:styleId="Mencinsinresolver2">
    <w:name w:val="Mención sin resolver2"/>
    <w:basedOn w:val="Fuentedeprrafopredeter"/>
    <w:uiPriority w:val="99"/>
    <w:semiHidden/>
    <w:unhideWhenUsed/>
    <w:rsid w:val="00D3774A"/>
    <w:rPr>
      <w:color w:val="605E5C"/>
      <w:shd w:val="clear" w:color="auto" w:fill="E1DFDD"/>
    </w:rPr>
  </w:style>
  <w:style w:type="character" w:customStyle="1" w:styleId="baj">
    <w:name w:val="b_aj"/>
    <w:basedOn w:val="Fuentedeprrafopredeter"/>
    <w:rsid w:val="00CB2C0A"/>
  </w:style>
  <w:style w:type="character" w:styleId="Textoennegrita">
    <w:name w:val="Strong"/>
    <w:basedOn w:val="Fuentedeprrafopredeter"/>
    <w:uiPriority w:val="22"/>
    <w:qFormat/>
    <w:rsid w:val="00EE3B4A"/>
    <w:rPr>
      <w:b/>
      <w:bCs/>
    </w:rPr>
  </w:style>
  <w:style w:type="character" w:customStyle="1" w:styleId="PrrafodelistaCar">
    <w:name w:val="Párrafo de lista Car"/>
    <w:basedOn w:val="Fuentedeprrafopredeter"/>
    <w:link w:val="Prrafodelista"/>
    <w:uiPriority w:val="34"/>
    <w:locked/>
    <w:rsid w:val="00BC0252"/>
  </w:style>
  <w:style w:type="character" w:customStyle="1" w:styleId="CEDANotaalpiCar">
    <w:name w:val="CEDA Nota al pié Car"/>
    <w:basedOn w:val="Fuentedeprrafopredeter"/>
    <w:link w:val="CEDANotaalpi"/>
    <w:locked/>
    <w:rsid w:val="00BC0252"/>
    <w:rPr>
      <w:rFonts w:ascii="Bookman Old Style" w:hAnsi="Bookman Old Style"/>
      <w:sz w:val="20"/>
      <w:szCs w:val="20"/>
    </w:rPr>
  </w:style>
  <w:style w:type="paragraph" w:customStyle="1" w:styleId="CEDANotaalpi">
    <w:name w:val="CEDA Nota al pié"/>
    <w:basedOn w:val="Textonotapie"/>
    <w:link w:val="CEDANotaalpiCar"/>
    <w:qFormat/>
    <w:rsid w:val="00BC0252"/>
    <w:pPr>
      <w:ind w:firstLine="709"/>
      <w:jc w:val="both"/>
    </w:pPr>
    <w:rPr>
      <w:rFonts w:ascii="Bookman Old Style" w:hAnsi="Bookman Old Style"/>
    </w:rPr>
  </w:style>
  <w:style w:type="character" w:customStyle="1" w:styleId="CEDAContenidoCar">
    <w:name w:val="CEDA Contenido Car"/>
    <w:basedOn w:val="Fuentedeprrafopredeter"/>
    <w:link w:val="CEDAContenido"/>
    <w:locked/>
    <w:rsid w:val="00DE061C"/>
    <w:rPr>
      <w:rFonts w:ascii="Bookman Old Style" w:hAnsi="Bookman Old Style"/>
    </w:rPr>
  </w:style>
  <w:style w:type="paragraph" w:customStyle="1" w:styleId="CEDAContenido">
    <w:name w:val="CEDA Contenido"/>
    <w:basedOn w:val="Normal"/>
    <w:link w:val="CEDAContenidoCar"/>
    <w:qFormat/>
    <w:rsid w:val="00DE061C"/>
    <w:pPr>
      <w:spacing w:after="0" w:line="276" w:lineRule="auto"/>
      <w:jc w:val="both"/>
    </w:pPr>
    <w:rPr>
      <w:rFonts w:ascii="Bookman Old Style" w:hAnsi="Bookman Old Style"/>
    </w:rPr>
  </w:style>
  <w:style w:type="paragraph" w:customStyle="1" w:styleId="Appelnotedebasde">
    <w:name w:val="Appel note de bas de..."/>
    <w:basedOn w:val="Normal"/>
    <w:link w:val="Refdenotaalpie"/>
    <w:rsid w:val="00F25206"/>
    <w:pPr>
      <w:spacing w:line="240" w:lineRule="exact"/>
    </w:pPr>
    <w:rPr>
      <w:vertAlign w:val="superscript"/>
    </w:rPr>
  </w:style>
  <w:style w:type="character" w:customStyle="1" w:styleId="TextonotapieCar1">
    <w:name w:val="Texto nota pie Car1"/>
    <w:aliases w:val="Texto nota pie Car Car1,MI NOTA PIE DE PÁGINA (TEXTO) Car1,Footnote reference Car1,FA Fu Car1,Footnote Text Char Char Char Char Char Car1,Footnote Text Char Char Char Char Car1,Footnote Text Char Char Char Car1,Footnote Text Cha Car1"/>
    <w:rsid w:val="00172AA5"/>
    <w:rPr>
      <w:rFonts w:ascii="Arial" w:hAnsi="Arial"/>
      <w:lang w:val="es-ES_tradnl" w:eastAsia="es-ES" w:bidi="ar-SA"/>
    </w:rPr>
  </w:style>
  <w:style w:type="character" w:customStyle="1" w:styleId="letra8pt">
    <w:name w:val="letra8pt"/>
    <w:basedOn w:val="Fuentedeprrafopredeter"/>
    <w:rsid w:val="008B6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8030">
      <w:bodyDiv w:val="1"/>
      <w:marLeft w:val="0"/>
      <w:marRight w:val="0"/>
      <w:marTop w:val="0"/>
      <w:marBottom w:val="0"/>
      <w:divBdr>
        <w:top w:val="none" w:sz="0" w:space="0" w:color="auto"/>
        <w:left w:val="none" w:sz="0" w:space="0" w:color="auto"/>
        <w:bottom w:val="none" w:sz="0" w:space="0" w:color="auto"/>
        <w:right w:val="none" w:sz="0" w:space="0" w:color="auto"/>
      </w:divBdr>
    </w:div>
    <w:div w:id="228883574">
      <w:bodyDiv w:val="1"/>
      <w:marLeft w:val="0"/>
      <w:marRight w:val="0"/>
      <w:marTop w:val="0"/>
      <w:marBottom w:val="0"/>
      <w:divBdr>
        <w:top w:val="none" w:sz="0" w:space="0" w:color="auto"/>
        <w:left w:val="none" w:sz="0" w:space="0" w:color="auto"/>
        <w:bottom w:val="none" w:sz="0" w:space="0" w:color="auto"/>
        <w:right w:val="none" w:sz="0" w:space="0" w:color="auto"/>
      </w:divBdr>
    </w:div>
    <w:div w:id="383144038">
      <w:bodyDiv w:val="1"/>
      <w:marLeft w:val="0"/>
      <w:marRight w:val="0"/>
      <w:marTop w:val="0"/>
      <w:marBottom w:val="0"/>
      <w:divBdr>
        <w:top w:val="none" w:sz="0" w:space="0" w:color="auto"/>
        <w:left w:val="none" w:sz="0" w:space="0" w:color="auto"/>
        <w:bottom w:val="none" w:sz="0" w:space="0" w:color="auto"/>
        <w:right w:val="none" w:sz="0" w:space="0" w:color="auto"/>
      </w:divBdr>
    </w:div>
    <w:div w:id="450976638">
      <w:bodyDiv w:val="1"/>
      <w:marLeft w:val="0"/>
      <w:marRight w:val="0"/>
      <w:marTop w:val="0"/>
      <w:marBottom w:val="0"/>
      <w:divBdr>
        <w:top w:val="none" w:sz="0" w:space="0" w:color="auto"/>
        <w:left w:val="none" w:sz="0" w:space="0" w:color="auto"/>
        <w:bottom w:val="none" w:sz="0" w:space="0" w:color="auto"/>
        <w:right w:val="none" w:sz="0" w:space="0" w:color="auto"/>
      </w:divBdr>
    </w:div>
    <w:div w:id="486242269">
      <w:bodyDiv w:val="1"/>
      <w:marLeft w:val="0"/>
      <w:marRight w:val="0"/>
      <w:marTop w:val="0"/>
      <w:marBottom w:val="0"/>
      <w:divBdr>
        <w:top w:val="none" w:sz="0" w:space="0" w:color="auto"/>
        <w:left w:val="none" w:sz="0" w:space="0" w:color="auto"/>
        <w:bottom w:val="none" w:sz="0" w:space="0" w:color="auto"/>
        <w:right w:val="none" w:sz="0" w:space="0" w:color="auto"/>
      </w:divBdr>
    </w:div>
    <w:div w:id="661205218">
      <w:bodyDiv w:val="1"/>
      <w:marLeft w:val="0"/>
      <w:marRight w:val="0"/>
      <w:marTop w:val="0"/>
      <w:marBottom w:val="0"/>
      <w:divBdr>
        <w:top w:val="none" w:sz="0" w:space="0" w:color="auto"/>
        <w:left w:val="none" w:sz="0" w:space="0" w:color="auto"/>
        <w:bottom w:val="none" w:sz="0" w:space="0" w:color="auto"/>
        <w:right w:val="none" w:sz="0" w:space="0" w:color="auto"/>
      </w:divBdr>
    </w:div>
    <w:div w:id="662439562">
      <w:bodyDiv w:val="1"/>
      <w:marLeft w:val="0"/>
      <w:marRight w:val="0"/>
      <w:marTop w:val="0"/>
      <w:marBottom w:val="0"/>
      <w:divBdr>
        <w:top w:val="none" w:sz="0" w:space="0" w:color="auto"/>
        <w:left w:val="none" w:sz="0" w:space="0" w:color="auto"/>
        <w:bottom w:val="none" w:sz="0" w:space="0" w:color="auto"/>
        <w:right w:val="none" w:sz="0" w:space="0" w:color="auto"/>
      </w:divBdr>
    </w:div>
    <w:div w:id="676494948">
      <w:bodyDiv w:val="1"/>
      <w:marLeft w:val="0"/>
      <w:marRight w:val="0"/>
      <w:marTop w:val="0"/>
      <w:marBottom w:val="0"/>
      <w:divBdr>
        <w:top w:val="none" w:sz="0" w:space="0" w:color="auto"/>
        <w:left w:val="none" w:sz="0" w:space="0" w:color="auto"/>
        <w:bottom w:val="none" w:sz="0" w:space="0" w:color="auto"/>
        <w:right w:val="none" w:sz="0" w:space="0" w:color="auto"/>
      </w:divBdr>
    </w:div>
    <w:div w:id="682051297">
      <w:bodyDiv w:val="1"/>
      <w:marLeft w:val="0"/>
      <w:marRight w:val="0"/>
      <w:marTop w:val="0"/>
      <w:marBottom w:val="0"/>
      <w:divBdr>
        <w:top w:val="none" w:sz="0" w:space="0" w:color="auto"/>
        <w:left w:val="none" w:sz="0" w:space="0" w:color="auto"/>
        <w:bottom w:val="none" w:sz="0" w:space="0" w:color="auto"/>
        <w:right w:val="none" w:sz="0" w:space="0" w:color="auto"/>
      </w:divBdr>
    </w:div>
    <w:div w:id="806438224">
      <w:bodyDiv w:val="1"/>
      <w:marLeft w:val="0"/>
      <w:marRight w:val="0"/>
      <w:marTop w:val="0"/>
      <w:marBottom w:val="0"/>
      <w:divBdr>
        <w:top w:val="none" w:sz="0" w:space="0" w:color="auto"/>
        <w:left w:val="none" w:sz="0" w:space="0" w:color="auto"/>
        <w:bottom w:val="none" w:sz="0" w:space="0" w:color="auto"/>
        <w:right w:val="none" w:sz="0" w:space="0" w:color="auto"/>
      </w:divBdr>
    </w:div>
    <w:div w:id="811218368">
      <w:bodyDiv w:val="1"/>
      <w:marLeft w:val="0"/>
      <w:marRight w:val="0"/>
      <w:marTop w:val="0"/>
      <w:marBottom w:val="0"/>
      <w:divBdr>
        <w:top w:val="none" w:sz="0" w:space="0" w:color="auto"/>
        <w:left w:val="none" w:sz="0" w:space="0" w:color="auto"/>
        <w:bottom w:val="none" w:sz="0" w:space="0" w:color="auto"/>
        <w:right w:val="none" w:sz="0" w:space="0" w:color="auto"/>
      </w:divBdr>
    </w:div>
    <w:div w:id="858930117">
      <w:bodyDiv w:val="1"/>
      <w:marLeft w:val="0"/>
      <w:marRight w:val="0"/>
      <w:marTop w:val="0"/>
      <w:marBottom w:val="0"/>
      <w:divBdr>
        <w:top w:val="none" w:sz="0" w:space="0" w:color="auto"/>
        <w:left w:val="none" w:sz="0" w:space="0" w:color="auto"/>
        <w:bottom w:val="none" w:sz="0" w:space="0" w:color="auto"/>
        <w:right w:val="none" w:sz="0" w:space="0" w:color="auto"/>
      </w:divBdr>
    </w:div>
    <w:div w:id="859662832">
      <w:bodyDiv w:val="1"/>
      <w:marLeft w:val="0"/>
      <w:marRight w:val="0"/>
      <w:marTop w:val="0"/>
      <w:marBottom w:val="0"/>
      <w:divBdr>
        <w:top w:val="none" w:sz="0" w:space="0" w:color="auto"/>
        <w:left w:val="none" w:sz="0" w:space="0" w:color="auto"/>
        <w:bottom w:val="none" w:sz="0" w:space="0" w:color="auto"/>
        <w:right w:val="none" w:sz="0" w:space="0" w:color="auto"/>
      </w:divBdr>
    </w:div>
    <w:div w:id="894776956">
      <w:bodyDiv w:val="1"/>
      <w:marLeft w:val="0"/>
      <w:marRight w:val="0"/>
      <w:marTop w:val="0"/>
      <w:marBottom w:val="0"/>
      <w:divBdr>
        <w:top w:val="none" w:sz="0" w:space="0" w:color="auto"/>
        <w:left w:val="none" w:sz="0" w:space="0" w:color="auto"/>
        <w:bottom w:val="none" w:sz="0" w:space="0" w:color="auto"/>
        <w:right w:val="none" w:sz="0" w:space="0" w:color="auto"/>
      </w:divBdr>
    </w:div>
    <w:div w:id="1013454541">
      <w:bodyDiv w:val="1"/>
      <w:marLeft w:val="0"/>
      <w:marRight w:val="0"/>
      <w:marTop w:val="0"/>
      <w:marBottom w:val="0"/>
      <w:divBdr>
        <w:top w:val="none" w:sz="0" w:space="0" w:color="auto"/>
        <w:left w:val="none" w:sz="0" w:space="0" w:color="auto"/>
        <w:bottom w:val="none" w:sz="0" w:space="0" w:color="auto"/>
        <w:right w:val="none" w:sz="0" w:space="0" w:color="auto"/>
      </w:divBdr>
    </w:div>
    <w:div w:id="1092319891">
      <w:bodyDiv w:val="1"/>
      <w:marLeft w:val="0"/>
      <w:marRight w:val="0"/>
      <w:marTop w:val="0"/>
      <w:marBottom w:val="0"/>
      <w:divBdr>
        <w:top w:val="none" w:sz="0" w:space="0" w:color="auto"/>
        <w:left w:val="none" w:sz="0" w:space="0" w:color="auto"/>
        <w:bottom w:val="none" w:sz="0" w:space="0" w:color="auto"/>
        <w:right w:val="none" w:sz="0" w:space="0" w:color="auto"/>
      </w:divBdr>
    </w:div>
    <w:div w:id="1121681180">
      <w:bodyDiv w:val="1"/>
      <w:marLeft w:val="0"/>
      <w:marRight w:val="0"/>
      <w:marTop w:val="0"/>
      <w:marBottom w:val="0"/>
      <w:divBdr>
        <w:top w:val="none" w:sz="0" w:space="0" w:color="auto"/>
        <w:left w:val="none" w:sz="0" w:space="0" w:color="auto"/>
        <w:bottom w:val="none" w:sz="0" w:space="0" w:color="auto"/>
        <w:right w:val="none" w:sz="0" w:space="0" w:color="auto"/>
      </w:divBdr>
    </w:div>
    <w:div w:id="1152720171">
      <w:bodyDiv w:val="1"/>
      <w:marLeft w:val="0"/>
      <w:marRight w:val="0"/>
      <w:marTop w:val="0"/>
      <w:marBottom w:val="0"/>
      <w:divBdr>
        <w:top w:val="none" w:sz="0" w:space="0" w:color="auto"/>
        <w:left w:val="none" w:sz="0" w:space="0" w:color="auto"/>
        <w:bottom w:val="none" w:sz="0" w:space="0" w:color="auto"/>
        <w:right w:val="none" w:sz="0" w:space="0" w:color="auto"/>
      </w:divBdr>
    </w:div>
    <w:div w:id="1155607850">
      <w:bodyDiv w:val="1"/>
      <w:marLeft w:val="0"/>
      <w:marRight w:val="0"/>
      <w:marTop w:val="0"/>
      <w:marBottom w:val="0"/>
      <w:divBdr>
        <w:top w:val="none" w:sz="0" w:space="0" w:color="auto"/>
        <w:left w:val="none" w:sz="0" w:space="0" w:color="auto"/>
        <w:bottom w:val="none" w:sz="0" w:space="0" w:color="auto"/>
        <w:right w:val="none" w:sz="0" w:space="0" w:color="auto"/>
      </w:divBdr>
    </w:div>
    <w:div w:id="1253129757">
      <w:bodyDiv w:val="1"/>
      <w:marLeft w:val="0"/>
      <w:marRight w:val="0"/>
      <w:marTop w:val="0"/>
      <w:marBottom w:val="0"/>
      <w:divBdr>
        <w:top w:val="none" w:sz="0" w:space="0" w:color="auto"/>
        <w:left w:val="none" w:sz="0" w:space="0" w:color="auto"/>
        <w:bottom w:val="none" w:sz="0" w:space="0" w:color="auto"/>
        <w:right w:val="none" w:sz="0" w:space="0" w:color="auto"/>
      </w:divBdr>
    </w:div>
    <w:div w:id="1368261187">
      <w:bodyDiv w:val="1"/>
      <w:marLeft w:val="0"/>
      <w:marRight w:val="0"/>
      <w:marTop w:val="0"/>
      <w:marBottom w:val="0"/>
      <w:divBdr>
        <w:top w:val="none" w:sz="0" w:space="0" w:color="auto"/>
        <w:left w:val="none" w:sz="0" w:space="0" w:color="auto"/>
        <w:bottom w:val="none" w:sz="0" w:space="0" w:color="auto"/>
        <w:right w:val="none" w:sz="0" w:space="0" w:color="auto"/>
      </w:divBdr>
    </w:div>
    <w:div w:id="1539203555">
      <w:bodyDiv w:val="1"/>
      <w:marLeft w:val="0"/>
      <w:marRight w:val="0"/>
      <w:marTop w:val="0"/>
      <w:marBottom w:val="0"/>
      <w:divBdr>
        <w:top w:val="none" w:sz="0" w:space="0" w:color="auto"/>
        <w:left w:val="none" w:sz="0" w:space="0" w:color="auto"/>
        <w:bottom w:val="none" w:sz="0" w:space="0" w:color="auto"/>
        <w:right w:val="none" w:sz="0" w:space="0" w:color="auto"/>
      </w:divBdr>
    </w:div>
    <w:div w:id="1555773892">
      <w:bodyDiv w:val="1"/>
      <w:marLeft w:val="0"/>
      <w:marRight w:val="0"/>
      <w:marTop w:val="0"/>
      <w:marBottom w:val="0"/>
      <w:divBdr>
        <w:top w:val="none" w:sz="0" w:space="0" w:color="auto"/>
        <w:left w:val="none" w:sz="0" w:space="0" w:color="auto"/>
        <w:bottom w:val="none" w:sz="0" w:space="0" w:color="auto"/>
        <w:right w:val="none" w:sz="0" w:space="0" w:color="auto"/>
      </w:divBdr>
    </w:div>
    <w:div w:id="1557666422">
      <w:bodyDiv w:val="1"/>
      <w:marLeft w:val="0"/>
      <w:marRight w:val="0"/>
      <w:marTop w:val="0"/>
      <w:marBottom w:val="0"/>
      <w:divBdr>
        <w:top w:val="none" w:sz="0" w:space="0" w:color="auto"/>
        <w:left w:val="none" w:sz="0" w:space="0" w:color="auto"/>
        <w:bottom w:val="none" w:sz="0" w:space="0" w:color="auto"/>
        <w:right w:val="none" w:sz="0" w:space="0" w:color="auto"/>
      </w:divBdr>
    </w:div>
    <w:div w:id="1558932422">
      <w:bodyDiv w:val="1"/>
      <w:marLeft w:val="0"/>
      <w:marRight w:val="0"/>
      <w:marTop w:val="0"/>
      <w:marBottom w:val="0"/>
      <w:divBdr>
        <w:top w:val="none" w:sz="0" w:space="0" w:color="auto"/>
        <w:left w:val="none" w:sz="0" w:space="0" w:color="auto"/>
        <w:bottom w:val="none" w:sz="0" w:space="0" w:color="auto"/>
        <w:right w:val="none" w:sz="0" w:space="0" w:color="auto"/>
      </w:divBdr>
    </w:div>
    <w:div w:id="1617710676">
      <w:bodyDiv w:val="1"/>
      <w:marLeft w:val="0"/>
      <w:marRight w:val="0"/>
      <w:marTop w:val="0"/>
      <w:marBottom w:val="0"/>
      <w:divBdr>
        <w:top w:val="none" w:sz="0" w:space="0" w:color="auto"/>
        <w:left w:val="none" w:sz="0" w:space="0" w:color="auto"/>
        <w:bottom w:val="none" w:sz="0" w:space="0" w:color="auto"/>
        <w:right w:val="none" w:sz="0" w:space="0" w:color="auto"/>
      </w:divBdr>
    </w:div>
    <w:div w:id="1688404079">
      <w:bodyDiv w:val="1"/>
      <w:marLeft w:val="0"/>
      <w:marRight w:val="0"/>
      <w:marTop w:val="0"/>
      <w:marBottom w:val="0"/>
      <w:divBdr>
        <w:top w:val="none" w:sz="0" w:space="0" w:color="auto"/>
        <w:left w:val="none" w:sz="0" w:space="0" w:color="auto"/>
        <w:bottom w:val="none" w:sz="0" w:space="0" w:color="auto"/>
        <w:right w:val="none" w:sz="0" w:space="0" w:color="auto"/>
      </w:divBdr>
    </w:div>
    <w:div w:id="1725910620">
      <w:bodyDiv w:val="1"/>
      <w:marLeft w:val="0"/>
      <w:marRight w:val="0"/>
      <w:marTop w:val="0"/>
      <w:marBottom w:val="0"/>
      <w:divBdr>
        <w:top w:val="none" w:sz="0" w:space="0" w:color="auto"/>
        <w:left w:val="none" w:sz="0" w:space="0" w:color="auto"/>
        <w:bottom w:val="none" w:sz="0" w:space="0" w:color="auto"/>
        <w:right w:val="none" w:sz="0" w:space="0" w:color="auto"/>
      </w:divBdr>
    </w:div>
    <w:div w:id="1799643521">
      <w:bodyDiv w:val="1"/>
      <w:marLeft w:val="0"/>
      <w:marRight w:val="0"/>
      <w:marTop w:val="0"/>
      <w:marBottom w:val="0"/>
      <w:divBdr>
        <w:top w:val="none" w:sz="0" w:space="0" w:color="auto"/>
        <w:left w:val="none" w:sz="0" w:space="0" w:color="auto"/>
        <w:bottom w:val="none" w:sz="0" w:space="0" w:color="auto"/>
        <w:right w:val="none" w:sz="0" w:space="0" w:color="auto"/>
      </w:divBdr>
    </w:div>
    <w:div w:id="1864200008">
      <w:bodyDiv w:val="1"/>
      <w:marLeft w:val="0"/>
      <w:marRight w:val="0"/>
      <w:marTop w:val="0"/>
      <w:marBottom w:val="0"/>
      <w:divBdr>
        <w:top w:val="none" w:sz="0" w:space="0" w:color="auto"/>
        <w:left w:val="none" w:sz="0" w:space="0" w:color="auto"/>
        <w:bottom w:val="none" w:sz="0" w:space="0" w:color="auto"/>
        <w:right w:val="none" w:sz="0" w:space="0" w:color="auto"/>
      </w:divBdr>
    </w:div>
    <w:div w:id="1885632292">
      <w:bodyDiv w:val="1"/>
      <w:marLeft w:val="0"/>
      <w:marRight w:val="0"/>
      <w:marTop w:val="0"/>
      <w:marBottom w:val="0"/>
      <w:divBdr>
        <w:top w:val="none" w:sz="0" w:space="0" w:color="auto"/>
        <w:left w:val="none" w:sz="0" w:space="0" w:color="auto"/>
        <w:bottom w:val="none" w:sz="0" w:space="0" w:color="auto"/>
        <w:right w:val="none" w:sz="0" w:space="0" w:color="auto"/>
      </w:divBdr>
    </w:div>
    <w:div w:id="1886217713">
      <w:bodyDiv w:val="1"/>
      <w:marLeft w:val="0"/>
      <w:marRight w:val="0"/>
      <w:marTop w:val="0"/>
      <w:marBottom w:val="0"/>
      <w:divBdr>
        <w:top w:val="none" w:sz="0" w:space="0" w:color="auto"/>
        <w:left w:val="none" w:sz="0" w:space="0" w:color="auto"/>
        <w:bottom w:val="none" w:sz="0" w:space="0" w:color="auto"/>
        <w:right w:val="none" w:sz="0" w:space="0" w:color="auto"/>
      </w:divBdr>
    </w:div>
    <w:div w:id="1895385408">
      <w:bodyDiv w:val="1"/>
      <w:marLeft w:val="0"/>
      <w:marRight w:val="0"/>
      <w:marTop w:val="0"/>
      <w:marBottom w:val="0"/>
      <w:divBdr>
        <w:top w:val="none" w:sz="0" w:space="0" w:color="auto"/>
        <w:left w:val="none" w:sz="0" w:space="0" w:color="auto"/>
        <w:bottom w:val="none" w:sz="0" w:space="0" w:color="auto"/>
        <w:right w:val="none" w:sz="0" w:space="0" w:color="auto"/>
      </w:divBdr>
    </w:div>
    <w:div w:id="1926842053">
      <w:bodyDiv w:val="1"/>
      <w:marLeft w:val="0"/>
      <w:marRight w:val="0"/>
      <w:marTop w:val="0"/>
      <w:marBottom w:val="0"/>
      <w:divBdr>
        <w:top w:val="none" w:sz="0" w:space="0" w:color="auto"/>
        <w:left w:val="none" w:sz="0" w:space="0" w:color="auto"/>
        <w:bottom w:val="none" w:sz="0" w:space="0" w:color="auto"/>
        <w:right w:val="none" w:sz="0" w:space="0" w:color="auto"/>
      </w:divBdr>
    </w:div>
    <w:div w:id="1964191795">
      <w:bodyDiv w:val="1"/>
      <w:marLeft w:val="0"/>
      <w:marRight w:val="0"/>
      <w:marTop w:val="0"/>
      <w:marBottom w:val="0"/>
      <w:divBdr>
        <w:top w:val="none" w:sz="0" w:space="0" w:color="auto"/>
        <w:left w:val="none" w:sz="0" w:space="0" w:color="auto"/>
        <w:bottom w:val="none" w:sz="0" w:space="0" w:color="auto"/>
        <w:right w:val="none" w:sz="0" w:space="0" w:color="auto"/>
      </w:divBdr>
    </w:div>
    <w:div w:id="1982886733">
      <w:bodyDiv w:val="1"/>
      <w:marLeft w:val="0"/>
      <w:marRight w:val="0"/>
      <w:marTop w:val="0"/>
      <w:marBottom w:val="0"/>
      <w:divBdr>
        <w:top w:val="none" w:sz="0" w:space="0" w:color="auto"/>
        <w:left w:val="none" w:sz="0" w:space="0" w:color="auto"/>
        <w:bottom w:val="none" w:sz="0" w:space="0" w:color="auto"/>
        <w:right w:val="none" w:sz="0" w:space="0" w:color="auto"/>
      </w:divBdr>
    </w:div>
    <w:div w:id="2049840591">
      <w:bodyDiv w:val="1"/>
      <w:marLeft w:val="0"/>
      <w:marRight w:val="0"/>
      <w:marTop w:val="0"/>
      <w:marBottom w:val="0"/>
      <w:divBdr>
        <w:top w:val="none" w:sz="0" w:space="0" w:color="auto"/>
        <w:left w:val="none" w:sz="0" w:space="0" w:color="auto"/>
        <w:bottom w:val="none" w:sz="0" w:space="0" w:color="auto"/>
        <w:right w:val="none" w:sz="0" w:space="0" w:color="auto"/>
      </w:divBdr>
    </w:div>
    <w:div w:id="205619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29A94-0D54-458B-958C-E9D41CF2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2475</TotalTime>
  <Pages>11</Pages>
  <Words>4146</Words>
  <Characters>22805</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Álvarez H</dc:creator>
  <cp:keywords/>
  <dc:description/>
  <cp:lastModifiedBy>Mitchelle Rincon Rodriguez</cp:lastModifiedBy>
  <cp:revision>59</cp:revision>
  <cp:lastPrinted>2019-08-03T18:44:00Z</cp:lastPrinted>
  <dcterms:created xsi:type="dcterms:W3CDTF">2020-01-24T12:14:00Z</dcterms:created>
  <dcterms:modified xsi:type="dcterms:W3CDTF">2020-03-19T10:36:00Z</dcterms:modified>
</cp:coreProperties>
</file>